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1"/>
        <w:gridCol w:w="992"/>
        <w:gridCol w:w="3685"/>
      </w:tblGrid>
      <w:tr w:rsidR="001645A4">
        <w:trPr>
          <w:cantSplit/>
          <w:trHeight w:hRule="exact" w:val="300"/>
        </w:trPr>
        <w:tc>
          <w:tcPr>
            <w:tcW w:w="5671" w:type="dxa"/>
          </w:tcPr>
          <w:p w:rsidR="001645A4" w:rsidRDefault="001645A4">
            <w:pPr>
              <w:pStyle w:val="1"/>
              <w:snapToGrid w:val="0"/>
              <w:ind w:right="114"/>
              <w:jc w:val="right"/>
              <w:rPr>
                <w:spacing w:val="0"/>
                <w:sz w:val="22"/>
                <w:szCs w:val="22"/>
              </w:rPr>
            </w:pPr>
          </w:p>
        </w:tc>
        <w:tc>
          <w:tcPr>
            <w:tcW w:w="992" w:type="dxa"/>
          </w:tcPr>
          <w:p w:rsidR="001645A4" w:rsidRDefault="001645A4">
            <w:pPr>
              <w:snapToGrid w:val="0"/>
              <w:spacing w:line="480" w:lineRule="auto"/>
              <w:ind w:right="-142" w:firstLine="114"/>
              <w:rPr>
                <w:b/>
                <w:sz w:val="22"/>
                <w:szCs w:val="22"/>
              </w:rPr>
            </w:pPr>
          </w:p>
        </w:tc>
        <w:tc>
          <w:tcPr>
            <w:tcW w:w="3685" w:type="dxa"/>
          </w:tcPr>
          <w:p w:rsidR="001645A4" w:rsidRDefault="001645A4">
            <w:pPr>
              <w:snapToGrid w:val="0"/>
              <w:spacing w:line="480" w:lineRule="auto"/>
              <w:jc w:val="right"/>
              <w:rPr>
                <w:b/>
                <w:sz w:val="22"/>
                <w:szCs w:val="22"/>
              </w:rPr>
            </w:pPr>
          </w:p>
        </w:tc>
      </w:tr>
      <w:tr w:rsidR="001645A4">
        <w:trPr>
          <w:cantSplit/>
          <w:trHeight w:hRule="exact" w:val="300"/>
        </w:trPr>
        <w:tc>
          <w:tcPr>
            <w:tcW w:w="5671" w:type="dxa"/>
          </w:tcPr>
          <w:p w:rsidR="001645A4" w:rsidRDefault="001645A4">
            <w:pPr>
              <w:pStyle w:val="1"/>
              <w:snapToGrid w:val="0"/>
              <w:ind w:right="114"/>
              <w:jc w:val="right"/>
              <w:rPr>
                <w:spacing w:val="0"/>
                <w:sz w:val="22"/>
                <w:szCs w:val="22"/>
              </w:rPr>
            </w:pPr>
            <w:r>
              <w:rPr>
                <w:spacing w:val="0"/>
                <w:sz w:val="22"/>
                <w:szCs w:val="22"/>
              </w:rPr>
              <w:t>ДОГОВОР №</w:t>
            </w:r>
          </w:p>
        </w:tc>
        <w:tc>
          <w:tcPr>
            <w:tcW w:w="992" w:type="dxa"/>
            <w:tcBorders>
              <w:bottom w:val="single" w:sz="1" w:space="0" w:color="000000"/>
            </w:tcBorders>
          </w:tcPr>
          <w:p w:rsidR="001645A4" w:rsidRDefault="001645A4">
            <w:pPr>
              <w:snapToGrid w:val="0"/>
              <w:spacing w:line="480" w:lineRule="auto"/>
              <w:ind w:right="-142" w:firstLine="114"/>
              <w:rPr>
                <w:b/>
                <w:sz w:val="22"/>
                <w:szCs w:val="22"/>
              </w:rPr>
            </w:pPr>
          </w:p>
        </w:tc>
        <w:tc>
          <w:tcPr>
            <w:tcW w:w="3685" w:type="dxa"/>
          </w:tcPr>
          <w:p w:rsidR="001645A4" w:rsidRDefault="001645A4">
            <w:pPr>
              <w:snapToGrid w:val="0"/>
              <w:spacing w:line="480" w:lineRule="auto"/>
              <w:ind w:right="-142"/>
              <w:rPr>
                <w:b/>
                <w:sz w:val="22"/>
                <w:szCs w:val="22"/>
              </w:rPr>
            </w:pPr>
          </w:p>
        </w:tc>
      </w:tr>
    </w:tbl>
    <w:p w:rsidR="001645A4" w:rsidRDefault="001645A4">
      <w:pPr>
        <w:widowControl/>
        <w:spacing w:after="2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 депозитарном обслуживании</w:t>
      </w:r>
    </w:p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6095"/>
        <w:gridCol w:w="567"/>
        <w:gridCol w:w="142"/>
        <w:gridCol w:w="1559"/>
        <w:gridCol w:w="425"/>
        <w:gridCol w:w="426"/>
        <w:gridCol w:w="283"/>
      </w:tblGrid>
      <w:tr w:rsidR="001645A4">
        <w:trPr>
          <w:cantSplit/>
          <w:trHeight w:hRule="exact" w:val="300"/>
        </w:trPr>
        <w:tc>
          <w:tcPr>
            <w:tcW w:w="426" w:type="dxa"/>
          </w:tcPr>
          <w:p w:rsidR="001645A4" w:rsidRDefault="001645A4">
            <w:pPr>
              <w:snapToGrid w:val="0"/>
              <w:spacing w:line="480" w:lineRule="auto"/>
              <w:ind w:left="96"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</w:t>
            </w:r>
          </w:p>
        </w:tc>
        <w:tc>
          <w:tcPr>
            <w:tcW w:w="6095" w:type="dxa"/>
          </w:tcPr>
          <w:p w:rsidR="001645A4" w:rsidRDefault="001645A4">
            <w:pPr>
              <w:pStyle w:val="7"/>
              <w:snapToGrid w:val="0"/>
              <w:ind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Санкт-Петербург </w:t>
            </w:r>
          </w:p>
        </w:tc>
        <w:tc>
          <w:tcPr>
            <w:tcW w:w="567" w:type="dxa"/>
            <w:tcBorders>
              <w:bottom w:val="single" w:sz="1" w:space="0" w:color="000000"/>
            </w:tcBorders>
          </w:tcPr>
          <w:p w:rsidR="001645A4" w:rsidRDefault="001645A4">
            <w:pPr>
              <w:snapToGrid w:val="0"/>
              <w:spacing w:line="480" w:lineRule="auto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42" w:type="dxa"/>
          </w:tcPr>
          <w:p w:rsidR="001645A4" w:rsidRDefault="001645A4">
            <w:pPr>
              <w:snapToGrid w:val="0"/>
              <w:spacing w:line="480" w:lineRule="auto"/>
              <w:ind w:right="-142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1" w:space="0" w:color="000000"/>
            </w:tcBorders>
          </w:tcPr>
          <w:p w:rsidR="001645A4" w:rsidRDefault="001645A4">
            <w:pPr>
              <w:snapToGrid w:val="0"/>
              <w:spacing w:line="480" w:lineRule="auto"/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1645A4" w:rsidRDefault="001645A4">
            <w:pPr>
              <w:snapToGrid w:val="0"/>
              <w:spacing w:line="480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26" w:type="dxa"/>
            <w:tcBorders>
              <w:bottom w:val="single" w:sz="1" w:space="0" w:color="000000"/>
            </w:tcBorders>
          </w:tcPr>
          <w:p w:rsidR="001645A4" w:rsidRDefault="001645A4">
            <w:pPr>
              <w:snapToGrid w:val="0"/>
              <w:spacing w:line="480" w:lineRule="auto"/>
              <w:ind w:right="-169"/>
              <w:rPr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1645A4" w:rsidRDefault="001645A4">
            <w:pPr>
              <w:snapToGrid w:val="0"/>
              <w:spacing w:line="480" w:lineRule="auto"/>
              <w:ind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</w:t>
            </w:r>
          </w:p>
        </w:tc>
      </w:tr>
    </w:tbl>
    <w:p w:rsidR="001645A4" w:rsidRDefault="001645A4">
      <w:pPr>
        <w:widowControl/>
        <w:ind w:firstLine="284"/>
        <w:jc w:val="both"/>
        <w:rPr>
          <w:sz w:val="22"/>
          <w:szCs w:val="22"/>
          <w:lang w:val="en-US"/>
        </w:rPr>
      </w:pPr>
    </w:p>
    <w:tbl>
      <w:tblPr>
        <w:tblW w:w="0" w:type="auto"/>
        <w:tblInd w:w="-96" w:type="dxa"/>
        <w:tblLayout w:type="fixed"/>
        <w:tblCellMar>
          <w:left w:w="46" w:type="dxa"/>
          <w:right w:w="46" w:type="dxa"/>
        </w:tblCellMar>
        <w:tblLook w:val="0000"/>
      </w:tblPr>
      <w:tblGrid>
        <w:gridCol w:w="10348"/>
      </w:tblGrid>
      <w:tr w:rsidR="001645A4">
        <w:trPr>
          <w:cantSplit/>
        </w:trPr>
        <w:tc>
          <w:tcPr>
            <w:tcW w:w="10348" w:type="dxa"/>
          </w:tcPr>
          <w:p w:rsidR="001645A4" w:rsidRDefault="0049246F" w:rsidP="00B92773">
            <w:pPr>
              <w:pStyle w:val="2"/>
              <w:snapToGrid w:val="0"/>
              <w:ind w:left="0" w:firstLine="52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Акционерное общество</w:t>
            </w:r>
            <w:r w:rsidR="001645A4">
              <w:rPr>
                <w:spacing w:val="-2"/>
                <w:sz w:val="22"/>
                <w:szCs w:val="22"/>
              </w:rPr>
              <w:t xml:space="preserve"> «Сити Инвест Банк», именуем</w:t>
            </w:r>
            <w:r w:rsidR="00B92773">
              <w:rPr>
                <w:spacing w:val="-2"/>
                <w:sz w:val="22"/>
                <w:szCs w:val="22"/>
              </w:rPr>
              <w:t>ое</w:t>
            </w:r>
            <w:r w:rsidR="001645A4">
              <w:rPr>
                <w:spacing w:val="-2"/>
                <w:sz w:val="22"/>
                <w:szCs w:val="22"/>
              </w:rPr>
              <w:t xml:space="preserve"> в дальнейшем – Депозитарий,</w:t>
            </w:r>
            <w:r w:rsidR="001645A4">
              <w:rPr>
                <w:sz w:val="22"/>
                <w:szCs w:val="22"/>
              </w:rPr>
              <w:t xml:space="preserve"> имеющее лицензию профессионального участника рынка ценных бумаг на осуществление депозитарной деятельности №078-04156-000100 от 20.12.2000, выданн</w:t>
            </w:r>
            <w:r w:rsidR="00B92773">
              <w:rPr>
                <w:sz w:val="22"/>
                <w:szCs w:val="22"/>
              </w:rPr>
              <w:t>ую</w:t>
            </w:r>
            <w:r w:rsidR="001645A4">
              <w:rPr>
                <w:sz w:val="22"/>
                <w:szCs w:val="22"/>
              </w:rPr>
              <w:t xml:space="preserve"> ФКЦБ РФ,  в лице Председателя Правления Дядичкина Павла</w:t>
            </w:r>
            <w:r w:rsidR="00B92773">
              <w:rPr>
                <w:sz w:val="22"/>
                <w:szCs w:val="22"/>
              </w:rPr>
              <w:t xml:space="preserve"> Нестеровича, действующего на основании Устава, с одной стороны,</w:t>
            </w:r>
          </w:p>
        </w:tc>
      </w:tr>
      <w:tr w:rsidR="001645A4">
        <w:trPr>
          <w:cantSplit/>
        </w:trPr>
        <w:tc>
          <w:tcPr>
            <w:tcW w:w="10348" w:type="dxa"/>
          </w:tcPr>
          <w:p w:rsidR="001645A4" w:rsidRDefault="001645A4" w:rsidP="00854043">
            <w:pPr>
              <w:snapToGrid w:val="0"/>
              <w:ind w:right="9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22781E">
              <w:rPr>
                <w:sz w:val="22"/>
                <w:szCs w:val="22"/>
              </w:rPr>
              <w:t xml:space="preserve"> </w:t>
            </w:r>
            <w:r w:rsidR="0022781E" w:rsidRPr="00247069">
              <w:rPr>
                <w:rFonts w:ascii="Arial" w:hAnsi="Arial" w:cs="Arial"/>
              </w:rPr>
              <w:t xml:space="preserve"> </w:t>
            </w:r>
            <w:r w:rsidR="008206F6">
              <w:rPr>
                <w:rFonts w:ascii="Arial" w:hAnsi="Arial" w:cs="Arial"/>
              </w:rPr>
              <w:t>_________________________</w:t>
            </w:r>
            <w:r w:rsidR="00B92773">
              <w:rPr>
                <w:rFonts w:ascii="Arial" w:hAnsi="Arial" w:cs="Arial"/>
              </w:rPr>
              <w:t xml:space="preserve"> , </w:t>
            </w:r>
            <w:r w:rsidR="00B92773">
              <w:rPr>
                <w:sz w:val="22"/>
                <w:szCs w:val="22"/>
              </w:rPr>
              <w:t>именуемый далее – Депонент, с другой стороны (Депозитарий и Депонент, упоминаемые одновременно, далее именуются – Стороны), заключили настоящий Договор о следующем.</w:t>
            </w:r>
          </w:p>
        </w:tc>
      </w:tr>
    </w:tbl>
    <w:p w:rsidR="001645A4" w:rsidRDefault="001645A4">
      <w:pPr>
        <w:widowControl/>
        <w:spacing w:before="120" w:after="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 Предмет Договора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1.1. В соответствии с настоящим Договором Депозитарий предоставляет Депоненту:</w:t>
      </w:r>
    </w:p>
    <w:p w:rsidR="001645A4" w:rsidRDefault="001645A4">
      <w:pPr>
        <w:widowControl/>
        <w:numPr>
          <w:ilvl w:val="0"/>
          <w:numId w:val="2"/>
        </w:numPr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услуги по хранению сертификатов ценных бумаг, учету и удостоверению прав на ценные бумаги Депонента (далее именуются - ценные бумаги), учету и удостоверению передачи ценных бумаг, включая случаи обременения ценных бумаг обязательствами, путем открытия и ведения счета депо Депонента (далее именуется - счет депо) и осуществления операций по нему;</w:t>
      </w:r>
    </w:p>
    <w:p w:rsidR="001645A4" w:rsidRDefault="001645A4">
      <w:pPr>
        <w:widowControl/>
        <w:numPr>
          <w:ilvl w:val="0"/>
          <w:numId w:val="2"/>
        </w:numPr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услуги, содействующие реализации Депонентом прав по принадлежащим ему ценным бумагам, включая право на участие в управлении акционерными обществами, на получение дивидендов, доходов и иных платежей по ценным бумагам;</w:t>
      </w:r>
    </w:p>
    <w:p w:rsidR="001645A4" w:rsidRDefault="001645A4">
      <w:pPr>
        <w:widowControl/>
        <w:numPr>
          <w:ilvl w:val="0"/>
          <w:numId w:val="2"/>
        </w:numPr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сопутствующие депозитарным операциям услуги по поручению Депонента.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1.2. Заключение Сторонами настоящего Договора не влечет за собой перехода к Депозитарию прав собственности на ценные бумаги Депонента.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1.3. При заключении настоящего Договора от Депонента не требуется немедленного депонирования ценных бумаг.</w:t>
      </w:r>
    </w:p>
    <w:p w:rsidR="001645A4" w:rsidRDefault="001645A4">
      <w:pPr>
        <w:widowControl/>
        <w:spacing w:before="120" w:after="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 Открытие и обслуживание счета депо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 Депозитарий открывает и ведет отдельный от других счет депо Депонента в соответствии с законодательством Российской Федерации, условиями настоящего Договора и соглашениями к нему, а также Условиями осуществл</w:t>
      </w:r>
      <w:r w:rsidR="0009425E">
        <w:rPr>
          <w:sz w:val="22"/>
          <w:szCs w:val="22"/>
        </w:rPr>
        <w:t xml:space="preserve">ения депозитарной деятельности </w:t>
      </w:r>
      <w:r>
        <w:rPr>
          <w:sz w:val="22"/>
          <w:szCs w:val="22"/>
        </w:rPr>
        <w:t>АО «Сити Инвест Банк», утвержденными Депозитарием и являющимися неотъемлемой частью настоящего Договора (далее именуются – Условия).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2.2. При необходимости осуществления операции по счету депо Депонент предоставляет Депозитарию поручение, оформленное в соответствии с требованиями Условий, а также иные документы, необходимые для проведения операции. Порядок передачи и приема к исполнению поручений Депонента определяется Условиями.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2.3. Способ учета ценных бумаг на счете депо Депонента определяется в соответствии с Условиями.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2.4. Депозитарий осуществляет операции по счету депо Депонента в течение одного рабочего дня с даты получения всех необходимых для ее проведения документов, за исключением случаев, предусмотренных настоящим Договором и (или) Условиями, и передает (направляет) Депоненту (уполномоченному им лицу) отчет об исполнении операции в порядке, установленном Условиями. Способ передачи Депоненту отчетов и уведомлений указывается Депонентом в Анкете Клиента.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2.5. Депонент предоставляет Депозитарию право выступать номинальным держателем ценных бумаг, депонированных на его счете, и согласен с внесением соответствующей записи в отношении именных ценных бумаг в систему ведения реестра владельцев именных ценных бумаг. Передача Депонентом ценных бумаг Депозитарию как номинальному держателю по настоящему Договору производится на основании передаточных распоряжений и (или) иных документов в соответствии с требованиями действующего законодательства Российской Федерации.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2.6. Порядок приема и рассмотрения претензий по исполненным депозитарным операциям, а также порядок оказания услуг, связанных с содействием в осуществлении владельцами прав по ценным бумагам, и иные условия, не определенные настоящим Договором, определяются в соответствии с Условиями.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2.7. Депозитарий обеспечивает конфиденциальность информации о счетах депо Депонента, включая информацию о производимых операциях по счетам и иные сведения, ставшие известными в связи с осуществлением депозитарной деятельности в рамках действия настоящего Договора.</w:t>
      </w:r>
    </w:p>
    <w:p w:rsidR="001645A4" w:rsidRDefault="001645A4">
      <w:pPr>
        <w:widowControl/>
        <w:spacing w:before="120" w:after="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3. Обязанности Сторон</w:t>
      </w:r>
    </w:p>
    <w:p w:rsidR="001645A4" w:rsidRDefault="001645A4">
      <w:pPr>
        <w:widowControl/>
        <w:ind w:firstLine="42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3.1. Депозитарий обязуется:</w:t>
      </w:r>
    </w:p>
    <w:p w:rsidR="001645A4" w:rsidRDefault="001645A4">
      <w:pPr>
        <w:pStyle w:val="210"/>
        <w:widowControl/>
        <w:ind w:firstLine="426"/>
        <w:rPr>
          <w:sz w:val="22"/>
          <w:szCs w:val="22"/>
        </w:rPr>
      </w:pPr>
      <w:r>
        <w:rPr>
          <w:sz w:val="22"/>
          <w:szCs w:val="22"/>
        </w:rPr>
        <w:t>3.1.1. Открыть и вести отдельный от других счет депо Депонента с указанием даты и основания каждой операции по счету депо.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3.1.2. Соблюдать требования, установленные действующим законодательством Российской Федерации, по осуществлению депозитарной деятельности.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3.1.3. В порядке, предусмотренном настоящим Договором, Условиями и действующими нормативными правовыми актами Российской Федерации, и по поручению Депонента обеспечивать:</w:t>
      </w:r>
    </w:p>
    <w:p w:rsidR="001645A4" w:rsidRDefault="001645A4">
      <w:pPr>
        <w:numPr>
          <w:ilvl w:val="0"/>
          <w:numId w:val="3"/>
        </w:numPr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прием и последующее хранение сертификатов ценных бумаг документарной формы выпуска, сопровождающееся учетом и удостоверением прав на них, отдельно от ценных бумаг, принадлежащих самому Депозитарию, и ценных бумаг, принадлежащих другим клиентам Депозитария;</w:t>
      </w:r>
    </w:p>
    <w:p w:rsidR="001645A4" w:rsidRDefault="001645A4">
      <w:pPr>
        <w:widowControl/>
        <w:numPr>
          <w:ilvl w:val="0"/>
          <w:numId w:val="2"/>
        </w:numPr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перевод ценных бумаг на указанные Депонентом счета в Депозитарии, реестре владельцев именных ценных бумаг (другом депозитарии);</w:t>
      </w:r>
    </w:p>
    <w:p w:rsidR="001645A4" w:rsidRDefault="001645A4">
      <w:pPr>
        <w:widowControl/>
        <w:numPr>
          <w:ilvl w:val="0"/>
          <w:numId w:val="2"/>
        </w:numPr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выдачу сертификатов ценных бумаг документарной формы выпуска из хранилища Депозитария лицам, указанным Депонентом в поручении;</w:t>
      </w:r>
    </w:p>
    <w:p w:rsidR="001645A4" w:rsidRDefault="001645A4">
      <w:pPr>
        <w:widowControl/>
        <w:numPr>
          <w:ilvl w:val="0"/>
          <w:numId w:val="2"/>
        </w:numPr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сохранность ценных бумаг Депонента и записей, подтверждающих права на них.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3.1.4. По поручению Депонента регистрировать факты обременения ценных бумаг Депонента в порядке, установленном Условиями.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3.1.5. Предоставлять Депоненту, а в случае назначения Депонентом попечителя своего счета депо – попечителю, отчеты об операциях, совершенных по счету депо Депонента в порядке, установленном Условиями.</w:t>
      </w:r>
    </w:p>
    <w:p w:rsidR="001645A4" w:rsidRDefault="001645A4">
      <w:pPr>
        <w:pStyle w:val="ab"/>
        <w:rPr>
          <w:sz w:val="22"/>
          <w:szCs w:val="22"/>
        </w:rPr>
      </w:pPr>
      <w:r>
        <w:rPr>
          <w:sz w:val="22"/>
          <w:szCs w:val="22"/>
        </w:rPr>
        <w:t>3.1.6. По письменному запросу Депонента или в ином порядке, установленном Условиями, предоставлять ему выписку со счета депо, удостоверяющую права Депонента на ценные бумаги, и любую иную информацию со счета депо в порядке и сроки, предусмотренные Условиями.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3.1.7. Проводить операции с депонированными ценными бумагами, а также осуществлять права по ним исключительно на основании поручений Депонента (уполномоченных им лиц) или в иных случаях, предусмотренных действующим законодательством Российской Федерации.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3.1.8. Передавать Депоненту (уполномоченному им лицу) информацию и документы, необходимые для осуществления Депонентом прав по ценным бумагам, от эмитентов или регистраторов и от Депонента (уполномоченного им лица) к эмитентам или регистраторам в порядке и сроки, установленные Условиями.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3.1.9. Не представлять третьим лицам информацию о Депоненте и его счете депо, кроме случаев, предусмотренных действующим законодательством Российской Федерации и настоящим Договором, включая Условия, и не использовать ее для целей, которые могут причинить ущерб Депоненту.</w:t>
      </w:r>
    </w:p>
    <w:p w:rsidR="001645A4" w:rsidRDefault="001645A4">
      <w:pPr>
        <w:pStyle w:val="a6"/>
        <w:widowControl/>
        <w:spacing w:after="0"/>
        <w:ind w:firstLine="426"/>
        <w:rPr>
          <w:sz w:val="22"/>
          <w:szCs w:val="22"/>
        </w:rPr>
      </w:pPr>
      <w:r>
        <w:rPr>
          <w:sz w:val="22"/>
          <w:szCs w:val="22"/>
        </w:rPr>
        <w:t>3.1.10. В целях надлежащего осуществления Депонентом прав по принадлежащим ему ценным бумагам:</w:t>
      </w:r>
    </w:p>
    <w:p w:rsidR="001645A4" w:rsidRDefault="001645A4">
      <w:pPr>
        <w:widowControl/>
        <w:numPr>
          <w:ilvl w:val="0"/>
          <w:numId w:val="3"/>
        </w:numPr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в полном объеме и в порядке и сроки, предусмотренные Условиями, перечислять Депоненту по указанным им банковским реквизитам полученные Депозитарием на свой корреспондентский счет доходы по ценным бумагам, принадлежащим Депоненту, с учетом условий п.5.3 и 5.5 настоящего Договора;</w:t>
      </w:r>
    </w:p>
    <w:p w:rsidR="001645A4" w:rsidRDefault="001645A4">
      <w:pPr>
        <w:widowControl/>
        <w:numPr>
          <w:ilvl w:val="0"/>
          <w:numId w:val="3"/>
        </w:numPr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осуществлять иные действия, предусмотренные действующим законодательством Российской Федерации и Условиями.</w:t>
      </w:r>
    </w:p>
    <w:p w:rsidR="001645A4" w:rsidRDefault="001645A4">
      <w:pPr>
        <w:pStyle w:val="a6"/>
        <w:widowControl/>
        <w:spacing w:after="0"/>
        <w:ind w:firstLine="426"/>
        <w:rPr>
          <w:sz w:val="22"/>
          <w:szCs w:val="22"/>
        </w:rPr>
      </w:pPr>
      <w:r>
        <w:rPr>
          <w:sz w:val="22"/>
          <w:szCs w:val="22"/>
        </w:rPr>
        <w:t>3.1.11. Оказывать Депоненту сопутствующие депозитарным услуги в порядке, установленном дополнительными соглашениями Сторон или Условиями.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3.1.12. По требованию Депонента или в случае прекращения действия настоящего Договора в срок не позднее рабочего дня следующего за днем получения Депозитарием соответствующего поручения Депонента (уполномоченных им лиц), подать поручение (передаточное распоряжение) к междепозитарному счету Депозитария, открытому в другом депозитарии, или счету номинального держателя, открытому в реестре владельцев именных ценных бумаг, на перевод ценных бумаг на счета, указанные Депонентом в поручении, а также в сроки, установленные Условиями, возвратить Депоненту или указанным им лицам сертификаты ценных бумаг документарной формы выпуска, находящиеся в хранилище Депозитария, за исключением случаев, когда права Депонента по распоряжению указанными ценными бумагами ограничены в соответствии с Условиями соответствующими распоряжениями Депонента, и (или) в иных случаях, предусмотренных действующим законодательством Российской Федерации.</w:t>
      </w:r>
    </w:p>
    <w:p w:rsidR="001645A4" w:rsidRDefault="001645A4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3.1.13. Возместить Депоненту убытки, причиненные в результате неисполнения или ненадлежащего исполнения Депозитарием обязанностей по хранению ценных бумаг и (или) учету прав на ценные бумаги, включая случаи утраты записей на счете депо, а также в случае ненадлежащего исполнения иных </w:t>
      </w:r>
      <w:r>
        <w:rPr>
          <w:sz w:val="22"/>
          <w:szCs w:val="22"/>
        </w:rPr>
        <w:lastRenderedPageBreak/>
        <w:t>обязанностей по настоящему Договору, если не докажет, что убытки возникли вследствие обстоятельств непреодолимой силы, прямого умысла или грубой неосторожности Депонента.</w:t>
      </w:r>
    </w:p>
    <w:p w:rsidR="002E46CB" w:rsidRPr="002E46CB" w:rsidRDefault="001645A4">
      <w:pPr>
        <w:pStyle w:val="a6"/>
        <w:spacing w:after="0"/>
        <w:ind w:firstLine="425"/>
        <w:rPr>
          <w:sz w:val="22"/>
          <w:szCs w:val="22"/>
        </w:rPr>
      </w:pPr>
      <w:r>
        <w:rPr>
          <w:sz w:val="22"/>
          <w:szCs w:val="22"/>
        </w:rPr>
        <w:t>3.1.14. Не позднее пяти рабочих дней после окончания каждого очередного календарного месяца выставлять и передавать Депоненту счета в оплату услуг Депозитария и возмещения его расходов</w:t>
      </w:r>
      <w:r w:rsidR="002E46CB">
        <w:rPr>
          <w:sz w:val="22"/>
          <w:szCs w:val="22"/>
        </w:rPr>
        <w:t>.</w:t>
      </w:r>
    </w:p>
    <w:p w:rsidR="001645A4" w:rsidRDefault="001645A4">
      <w:pPr>
        <w:pStyle w:val="a6"/>
        <w:spacing w:after="0"/>
        <w:ind w:firstLine="425"/>
        <w:rPr>
          <w:sz w:val="22"/>
          <w:szCs w:val="22"/>
        </w:rPr>
      </w:pPr>
      <w:r>
        <w:rPr>
          <w:sz w:val="22"/>
          <w:szCs w:val="22"/>
        </w:rPr>
        <w:t>3.1.15. Уведомлять Депонента об изменениях, вносимых в действующие редакции Усло</w:t>
      </w:r>
      <w:r w:rsidR="0009425E">
        <w:rPr>
          <w:sz w:val="22"/>
          <w:szCs w:val="22"/>
        </w:rPr>
        <w:t xml:space="preserve">вий и об изменениях Тарифов </w:t>
      </w:r>
      <w:r>
        <w:rPr>
          <w:sz w:val="22"/>
          <w:szCs w:val="22"/>
        </w:rPr>
        <w:t>АО «Сити Инвест Банк» за услуги депозитария (далее – Тарифы) не позднее десяти рабочих дней до даты вступления их в силу.</w:t>
      </w:r>
    </w:p>
    <w:p w:rsidR="001645A4" w:rsidRDefault="001645A4">
      <w:pPr>
        <w:widowControl/>
        <w:spacing w:before="120"/>
        <w:ind w:left="142"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3.2. Депонент обязуется:</w:t>
      </w:r>
    </w:p>
    <w:p w:rsidR="001645A4" w:rsidRDefault="001645A4">
      <w:pPr>
        <w:pStyle w:val="a6"/>
        <w:widowControl/>
        <w:spacing w:after="0"/>
        <w:ind w:firstLine="426"/>
        <w:rPr>
          <w:sz w:val="22"/>
          <w:szCs w:val="22"/>
        </w:rPr>
      </w:pPr>
      <w:r>
        <w:rPr>
          <w:sz w:val="22"/>
          <w:szCs w:val="22"/>
        </w:rPr>
        <w:t>3.2.1. Предоставить Депозитарию документы, необходимые для открытия счета депо и его последующего функционирования в соответствии с Условиями.</w:t>
      </w:r>
    </w:p>
    <w:p w:rsidR="001645A4" w:rsidRDefault="001645A4">
      <w:pPr>
        <w:pStyle w:val="a6"/>
        <w:widowControl/>
        <w:spacing w:after="0"/>
        <w:ind w:firstLine="426"/>
        <w:rPr>
          <w:sz w:val="22"/>
          <w:szCs w:val="22"/>
        </w:rPr>
      </w:pPr>
      <w:r>
        <w:rPr>
          <w:sz w:val="22"/>
          <w:szCs w:val="22"/>
        </w:rPr>
        <w:t>3.2.2. Соблюдать требования, установленные действующим законодательством Российской Федерации, Условиями, содержащиеся в условиях выпуска и обращения отдельных видов ценных бумаг, в том числе оформлять и передавать Депозитарию поручения на совершение операций с ценными бумагами.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3.2.3. Соблюдать порядок совершения депозитарных операций, установленный Условиями, утвержденными Депозитарием.</w:t>
      </w:r>
    </w:p>
    <w:p w:rsidR="001645A4" w:rsidRDefault="001645A4">
      <w:pPr>
        <w:pStyle w:val="ab"/>
        <w:rPr>
          <w:sz w:val="22"/>
          <w:szCs w:val="22"/>
        </w:rPr>
      </w:pPr>
      <w:r>
        <w:rPr>
          <w:sz w:val="22"/>
          <w:szCs w:val="22"/>
        </w:rPr>
        <w:t>3.2.4. Извещать Депозитарий обо всех изменениях учредительных документов и (или) реквизитов (почтового и юридического адресов, реквизитов банковского счета, номеров телефонов и устройств факсимильной связи, электронного адреса), а также анкетных данных лиц, уполномоченных распоряжаться счетом депо Депонента; предоставить Депозитарию надлежащим образом оформленные документы, подтверждающие соответствующие изменения в порядке и сроки, установленные Условиями.</w:t>
      </w:r>
    </w:p>
    <w:p w:rsidR="001645A4" w:rsidRDefault="001645A4">
      <w:pPr>
        <w:pStyle w:val="a6"/>
        <w:widowControl/>
        <w:spacing w:after="0"/>
        <w:ind w:firstLine="426"/>
        <w:rPr>
          <w:sz w:val="22"/>
          <w:szCs w:val="22"/>
        </w:rPr>
      </w:pPr>
      <w:r>
        <w:rPr>
          <w:sz w:val="22"/>
          <w:szCs w:val="22"/>
        </w:rPr>
        <w:t>3.2.5. В случае передачи полномочий по распоряжению ценными бумагами и осуществлению прав по ценным бумагам, которые хранятся и (или) права на которые учитываются в Депозитарии, другом лицу – попечителю счета депо не передавать самостоятельно в Депозитарий поручения в отношении ценных бумаг, которые хранятся и (или) права на которые учитываются в Депозитарии, на счетах депо Депонента, за исключением случаев, предусмотренных настоящим Договором.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3.2.6. По запросу Депозитария по состоянию на тридцать первое декабря каждого года или с иной периодичностью, установленной Условиями, подтверждать состояние учета ценных бумаг, переданных на хранение и учет в Депозитарий.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3.2.7. Производить оплату услуг Депозитария в порядке и сроки, установленные настоящим Договором.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3.2.8. Депонировать на счете депо только те ценные бумаги, которые принадлежат ему как добросовестному владельцу на праве собственности или ином вещном праве.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3.2.9. По запросу Депозитария представлять доверенности и иные документы для совершения в интересах Депонента операций, связанных с реализацией прав, закрепленных ценными бумагами.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3.2.10. Осуществить принятие сертификатов ценных бумаг документарной формы выпуска из хранилища Депозитария, выдаваемых Депозитарием на основании поручения Депонента, в порядке и сроки, установленные Условиями.</w:t>
      </w:r>
    </w:p>
    <w:p w:rsidR="001645A4" w:rsidRDefault="001645A4">
      <w:pPr>
        <w:pStyle w:val="15"/>
        <w:widowControl/>
        <w:spacing w:before="120" w:after="0"/>
        <w:rPr>
          <w:sz w:val="22"/>
          <w:szCs w:val="22"/>
        </w:rPr>
      </w:pPr>
      <w:r>
        <w:rPr>
          <w:sz w:val="22"/>
          <w:szCs w:val="22"/>
        </w:rPr>
        <w:t>4. Права Сторон</w:t>
      </w:r>
    </w:p>
    <w:p w:rsidR="001645A4" w:rsidRDefault="001645A4">
      <w:pPr>
        <w:pStyle w:val="a6"/>
        <w:widowControl/>
        <w:spacing w:after="0"/>
        <w:ind w:firstLine="426"/>
        <w:rPr>
          <w:b/>
          <w:sz w:val="22"/>
          <w:szCs w:val="22"/>
        </w:rPr>
      </w:pPr>
      <w:r>
        <w:rPr>
          <w:b/>
          <w:sz w:val="22"/>
          <w:szCs w:val="22"/>
        </w:rPr>
        <w:t>4.1. Депозитарий вправе:</w:t>
      </w:r>
    </w:p>
    <w:p w:rsidR="001645A4" w:rsidRDefault="001645A4">
      <w:pPr>
        <w:pStyle w:val="a6"/>
        <w:widowControl/>
        <w:spacing w:after="0"/>
        <w:ind w:firstLine="426"/>
        <w:rPr>
          <w:sz w:val="22"/>
          <w:szCs w:val="22"/>
        </w:rPr>
      </w:pPr>
      <w:r>
        <w:rPr>
          <w:sz w:val="22"/>
          <w:szCs w:val="22"/>
        </w:rPr>
        <w:t>4.1.1. На основании соглашений с другими депозитариями привлекать их для осуществления депозитарных и сопутствующих им операций (т.е. становиться депонентом другого депозитария). В этом случае Депозитарий несет ответственность перед Депонентом за действия другого депозитария как за свои собственные, за исключением случаев, когда заключение договора с другим депозитарием было осуществлено на основании прямого письменного указания Депонента.</w:t>
      </w:r>
    </w:p>
    <w:p w:rsidR="001645A4" w:rsidRDefault="001645A4">
      <w:pPr>
        <w:pStyle w:val="a6"/>
        <w:widowControl/>
        <w:spacing w:after="0"/>
        <w:ind w:firstLine="426"/>
        <w:rPr>
          <w:sz w:val="22"/>
          <w:szCs w:val="22"/>
        </w:rPr>
      </w:pPr>
      <w:r>
        <w:rPr>
          <w:sz w:val="22"/>
          <w:szCs w:val="22"/>
        </w:rPr>
        <w:t>4.1.2. Получать доходы и иные платежи по ценным бумагам, учитываемым на счете депо Депонента, с последующим перечислением полученных денежных средств на банковский счет Депонента, в порядке и сроки, установленные Условиями, за исключением случаев, когда Депонент заблаговременно предоставил Депозитарию письменное распоряжение, содержащее указание на наименование эмитента ценных бумаг и государственный регистрационный номер выпуска ценных бумаг, не получать по указанным в этом распоряжении ценным бумагам причитающиеся Депоненту доходы.</w:t>
      </w:r>
    </w:p>
    <w:p w:rsidR="001645A4" w:rsidRDefault="001645A4">
      <w:pPr>
        <w:pStyle w:val="a6"/>
        <w:widowControl/>
        <w:spacing w:after="0"/>
        <w:ind w:firstLine="426"/>
        <w:rPr>
          <w:sz w:val="22"/>
          <w:szCs w:val="22"/>
        </w:rPr>
      </w:pPr>
      <w:r>
        <w:rPr>
          <w:sz w:val="22"/>
          <w:szCs w:val="22"/>
        </w:rPr>
        <w:t>4.1.3. Взимать плату с Депонента за оказываемые последнему депозитарные услуги в соответствии с настоящим Договором.</w:t>
      </w:r>
    </w:p>
    <w:p w:rsidR="001645A4" w:rsidRDefault="001645A4">
      <w:pPr>
        <w:pStyle w:val="a6"/>
        <w:widowControl/>
        <w:spacing w:after="0"/>
        <w:ind w:firstLine="426"/>
        <w:rPr>
          <w:sz w:val="22"/>
          <w:szCs w:val="22"/>
        </w:rPr>
      </w:pPr>
      <w:r>
        <w:rPr>
          <w:sz w:val="22"/>
          <w:szCs w:val="22"/>
        </w:rPr>
        <w:t>4.1.4. Отказывать в принятии или исполнении поручений Депонента в случаях, предусмотренных Условиями.</w:t>
      </w:r>
    </w:p>
    <w:p w:rsidR="001645A4" w:rsidRDefault="001645A4">
      <w:pPr>
        <w:pStyle w:val="a6"/>
        <w:widowControl/>
        <w:spacing w:after="0"/>
        <w:ind w:firstLine="426"/>
        <w:rPr>
          <w:sz w:val="22"/>
          <w:szCs w:val="22"/>
        </w:rPr>
      </w:pPr>
      <w:r>
        <w:rPr>
          <w:sz w:val="22"/>
          <w:szCs w:val="22"/>
        </w:rPr>
        <w:t>4.1.5. В одностороннем порядке вносить изменения в действующие редакции Тарифов и Условий.</w:t>
      </w:r>
    </w:p>
    <w:p w:rsidR="001645A4" w:rsidRDefault="001645A4">
      <w:pPr>
        <w:pStyle w:val="a6"/>
        <w:widowControl/>
        <w:spacing w:before="120" w:after="0"/>
        <w:ind w:firstLine="425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4.2. Депонент вправе:</w:t>
      </w:r>
    </w:p>
    <w:p w:rsidR="001645A4" w:rsidRDefault="001645A4">
      <w:pPr>
        <w:pStyle w:val="a6"/>
        <w:widowControl/>
        <w:spacing w:after="0"/>
        <w:ind w:firstLine="426"/>
        <w:rPr>
          <w:sz w:val="22"/>
          <w:szCs w:val="22"/>
        </w:rPr>
      </w:pPr>
      <w:r>
        <w:rPr>
          <w:sz w:val="22"/>
          <w:szCs w:val="22"/>
        </w:rPr>
        <w:t>4.2.1. Совершать любые операции с ценными бумагами, предусмотренные законодательством Российской Федерации, в порядке, определенном условиями выпуска и обращения отдельных видов ценных бумаг и Условиями.</w:t>
      </w:r>
    </w:p>
    <w:p w:rsidR="001645A4" w:rsidRDefault="001645A4">
      <w:pPr>
        <w:pStyle w:val="a6"/>
        <w:widowControl/>
        <w:spacing w:after="0"/>
        <w:ind w:firstLine="426"/>
        <w:rPr>
          <w:sz w:val="22"/>
          <w:szCs w:val="22"/>
        </w:rPr>
      </w:pPr>
      <w:r>
        <w:rPr>
          <w:sz w:val="22"/>
          <w:szCs w:val="22"/>
        </w:rPr>
        <w:t>4.2.2. В порядке, установленном Условиями, передавать полномочия по распоряжению ценными бумагами и осуществлению прав по ценным бумагам, которые хранятся и (или) права на которые учитываются в Депозитарии, другому лицу – попечителю счета депо.</w:t>
      </w:r>
    </w:p>
    <w:p w:rsidR="001645A4" w:rsidRDefault="001645A4">
      <w:pPr>
        <w:pStyle w:val="a6"/>
        <w:widowControl/>
        <w:spacing w:after="0"/>
        <w:ind w:firstLine="426"/>
        <w:rPr>
          <w:sz w:val="22"/>
          <w:szCs w:val="22"/>
        </w:rPr>
      </w:pPr>
      <w:r>
        <w:rPr>
          <w:sz w:val="22"/>
          <w:szCs w:val="22"/>
        </w:rPr>
        <w:t>4.2.3. В соответствии с действующим законодательством Российской Федерации, регулирующим депозитарную деятельность, и в порядке, установленном Условиями, передавать все или часть полномочий по распоряжению ценными бумагами на счете (разделе счета) депо Депонента другому юридическому лицу – оператору счета (раздела счета) депо.</w:t>
      </w:r>
    </w:p>
    <w:p w:rsidR="001645A4" w:rsidRDefault="001645A4">
      <w:pPr>
        <w:pStyle w:val="a6"/>
        <w:widowControl/>
        <w:spacing w:after="0"/>
        <w:ind w:firstLine="426"/>
        <w:rPr>
          <w:sz w:val="22"/>
          <w:szCs w:val="22"/>
        </w:rPr>
      </w:pPr>
      <w:r>
        <w:rPr>
          <w:sz w:val="22"/>
          <w:szCs w:val="22"/>
        </w:rPr>
        <w:t>4.2.4. Запрашивать у Депозитария информацию, необходимую для реализации прав, вытекающих из владения ценными бумагами.</w:t>
      </w:r>
    </w:p>
    <w:p w:rsidR="001645A4" w:rsidRDefault="001645A4">
      <w:pPr>
        <w:widowControl/>
        <w:spacing w:before="120" w:after="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Размер и порядок оплаты услуг Депозитария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5.1. Услуги, оказываемые Депозитарием Депоненту по настоящему Договору, Депонент оплачивает в соответствии с действующими на момент оказания услуг Тарифами, которые являются приложением к настоящему Договору.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5.2. Услуги, оказываемые Депозитарием Депоненту по настоящему Договору, оплачиваются Депонентом на основании счетов, ежемесячно выставляемых Депозитарием Депоненту в соответствии с Условиями.</w:t>
      </w:r>
    </w:p>
    <w:p w:rsidR="001645A4" w:rsidRDefault="001645A4">
      <w:pPr>
        <w:pStyle w:val="210"/>
        <w:widowControl/>
        <w:ind w:firstLine="426"/>
        <w:rPr>
          <w:sz w:val="22"/>
          <w:szCs w:val="22"/>
        </w:rPr>
      </w:pPr>
      <w:r>
        <w:rPr>
          <w:sz w:val="22"/>
          <w:szCs w:val="22"/>
        </w:rPr>
        <w:t>5.3. При перечислении Депоненту доходов по ценным бумагам Депозитарий производит выплату причитающихся Депоненту сумм за вычетом суммы комиссионного вознаграждения за расчет и перечисление доходов по ценным бумагам согласно Тарифам.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5.4. Счета на оплату услуг и возмещение расходов Депозитария передаются Депоненту в порядке и сроки, установленные Условиями, и оплачиваются Депонентом в течение четырнадцати календарных дней с момента их выставления.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5.5. В случае тридцатидневной просрочки оплаты Депонентом счета, считая с даты выставления счета Депозитарием в соответствии с п. 5.2 настоящего Договора, Депозитарий имеет право:</w:t>
      </w:r>
    </w:p>
    <w:p w:rsidR="001645A4" w:rsidRDefault="001645A4">
      <w:pPr>
        <w:widowControl/>
        <w:numPr>
          <w:ilvl w:val="0"/>
          <w:numId w:val="2"/>
        </w:numPr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приостановить проведение всех депозитарных операций по счету депо Депонента до момента оплаты счета в порядке, установленном Условиями;</w:t>
      </w:r>
    </w:p>
    <w:p w:rsidR="001645A4" w:rsidRDefault="001645A4">
      <w:pPr>
        <w:widowControl/>
        <w:numPr>
          <w:ilvl w:val="0"/>
          <w:numId w:val="2"/>
        </w:numPr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в безакцептном порядке осуществить списание сумм, указанных в п.5.2 настоящего Договора, с банковског</w:t>
      </w:r>
      <w:r w:rsidR="0009425E">
        <w:rPr>
          <w:sz w:val="22"/>
          <w:szCs w:val="22"/>
        </w:rPr>
        <w:t xml:space="preserve">о счета Депонента, открытого в </w:t>
      </w:r>
      <w:r>
        <w:rPr>
          <w:sz w:val="22"/>
          <w:szCs w:val="22"/>
        </w:rPr>
        <w:t>АО «Сити Инвест Банк», при наличии соответствующего условия в договоре банковского счета с Депонентом;</w:t>
      </w:r>
    </w:p>
    <w:p w:rsidR="001645A4" w:rsidRDefault="001645A4">
      <w:pPr>
        <w:widowControl/>
        <w:numPr>
          <w:ilvl w:val="0"/>
          <w:numId w:val="2"/>
        </w:numPr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при перечислении доходов по ценным бумагам производить выплату причитающихся Депоненту сумм за вычетом из суммы выплачиваемого дохода по ценным бумагам суммы причитающегося ему комиссионного вознаграждения с последующим уведомлением Депонента в порядке, установленном Условиями.</w:t>
      </w:r>
    </w:p>
    <w:p w:rsidR="001645A4" w:rsidRDefault="001645A4">
      <w:pPr>
        <w:widowControl/>
        <w:spacing w:before="120" w:after="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 Ответственность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6.1. В случае неисполнения или ненадлежащего исполнения Сторонами своих обязанностей по настоящему Договору Стороны несут ответственность в соответствии с действующим законодательством Российской Федерации и положениями настоящего Договора.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6.2. Депонент отвечает за своевременность и достоверность информации, предоставляемой Депозитарию, а также за подлинность и платежеспособность ценных бумаг, передаваемых им на хранение и учет в Депозитарий.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6.3. Депонент несет ответственность перед третьими лицами за сокрытие от Депозитария информации о правах третьих лиц на депонируемые ценные бумаги.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6.4. Депозитарий не несет ответственность за последствия исполнения поручений, выданных неуполномоченными лицами Депонента, включая случаи невозможности установления факта выдачи поручения неуполномоченными лицами по внешним признакам.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6.5. Депозитарий не отвечает перед Депонентом за убытки, причиненные в результате действий попечителя счета депо.</w:t>
      </w:r>
    </w:p>
    <w:p w:rsidR="001645A4" w:rsidRDefault="001645A4">
      <w:pPr>
        <w:ind w:firstLine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6.6. В случае возникновения обстоятельств непреодолимой силы, к которым относятся стихийные бедствия, аварии, пожары, массовые беспорядки, забастовки, военные действия, вступления в силу законодательных и нормативных актов, распоряжений органов государственной власти и управления, прямо или косвенно запрещающих указанные в настоящем Договоре виды деятельности и препятствующих </w:t>
      </w:r>
      <w:r>
        <w:rPr>
          <w:sz w:val="22"/>
          <w:szCs w:val="22"/>
        </w:rPr>
        <w:lastRenderedPageBreak/>
        <w:t>осуществлению Сторонами своих обязательств по настоящему Договору, либо иных обстоятельств, не зависящих от волеизъявления Сторон, они освобождаются от ответственности за неисполнение принятых на себя обязательств, если в недельный срок с момента наступления таких обстоятельств Сторона, пострадавшая от их влияния, предоставит документальные подтверждения о масштабах происшедших событий, выданные полномочными органами власти, а также об их влиянии.</w:t>
      </w:r>
    </w:p>
    <w:p w:rsidR="001645A4" w:rsidRDefault="001645A4">
      <w:pPr>
        <w:ind w:firstLine="425"/>
        <w:jc w:val="both"/>
        <w:rPr>
          <w:sz w:val="22"/>
          <w:szCs w:val="22"/>
        </w:rPr>
      </w:pPr>
      <w:r>
        <w:rPr>
          <w:sz w:val="22"/>
          <w:szCs w:val="22"/>
        </w:rPr>
        <w:t>6.7. При возникновении названных обстоятельств непреодолимой силы срок исполнения обязательств по настоящему Договору отодвигается соразмерно времени действия таких обстоятельств.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6.8. Депозитарий не несет ответственность за неисполнение или ненадлежащее исполнение поручений Депонента, передаваемых в рамках настоящего Договора, являющиеся результатом неправильного оформления документов, ошибок в тексте поручений, искажения текста поручений, переданных по средствам электронной связи, а также по другим причинам, не зависящим от Депозитария.</w:t>
      </w:r>
    </w:p>
    <w:p w:rsidR="001645A4" w:rsidRDefault="001645A4">
      <w:pPr>
        <w:pStyle w:val="ab"/>
        <w:rPr>
          <w:sz w:val="22"/>
          <w:szCs w:val="22"/>
        </w:rPr>
      </w:pPr>
      <w:r>
        <w:rPr>
          <w:sz w:val="22"/>
          <w:szCs w:val="22"/>
        </w:rPr>
        <w:t>6.9. Депозитарий не несет ответственность за неполучение или несвоевременное получение Депонентом информации, предоставляемой Депозитарием Депоненту в соответствии с условиями настоящего Договора, и (или) за случаи ненадлежащего исполнения обязанностей по настоящему Договору в случаях неуведомления или несвоевременного уведомления Депонентом Депозитария об изменении своих реквизитов в соответствии с п.3.2.4 настоящего Договора.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6.10. Депозитарий не несет ответственность за ущерб, причиненный в результате наложения ареста, а также за выемку этих ценных бумаг, произведенную правоохранительными органами, в порядке, установленном действующим законодательством Российской Федерации.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6.11. Депозитарий не несет ответственность за действия или бездействие эмитента, регистратора или контрагента Депонента по операции с ценными бумагами, за недостоверность и несвоевременность переданной ему эмитентом и регистратором информации, а также за прямые или косвенные убытки, которые могут возникнуть в результате использования Депонентом или третьими лицами этой информации или невозможности ее использования ввиду несвоевременности ее получения от эмитента и регистратора.</w:t>
      </w:r>
    </w:p>
    <w:p w:rsidR="001645A4" w:rsidRDefault="001645A4">
      <w:pPr>
        <w:widowControl/>
        <w:spacing w:before="120" w:after="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 Срок действия и порядок расторжения настоящего Договора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 Настоящий Договор вступает в силу со дня его подписания и действует в течение неопределенного срока. 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7.2. Настоящий Договор может быть расторгнут по взаимному согласию Сторон. Депонент может в любой момент отказаться от исполнения настоящего Договора, направив Депозитарию письменное уведомление об этом. В этом случае настоящий Договор считается расторгнутым по истечении тридцати календарных дней с даты получения Депозитарием письменного уведомления Депонента об отказе от исполнения настоящего Договора. При этом Стороны обязуются выполнить указанные настоящим Договором обязательства в течение указанного выше срока.</w:t>
      </w:r>
    </w:p>
    <w:p w:rsidR="001645A4" w:rsidRDefault="001645A4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7.3. Договор также считается расторгнутым, если при отсутствии задолженности по оплате услуг Депозитария на счете депо Депонента  в течение одного года отсутствуют ценные бумаги.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7.4. В случае расторжения настоящего Договора по инициативе Депонента или по другим причинам, не зависящим от Депозитария, все расходы, связанные с передачей Депозитарием ценных бумаг Депоненту, осуществляются за счет последнего.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В случае расторжения настоящего Договора по инициативе Депозитария все расходы, связанные с передачей по поручению Депонента Депозитарием ценных бумаг Депоненту, осуществляются за счет Депозитария.</w:t>
      </w:r>
    </w:p>
    <w:p w:rsidR="001645A4" w:rsidRDefault="001645A4">
      <w:pPr>
        <w:widowControl/>
        <w:spacing w:before="120" w:after="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Иные условия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8.1. Депонент подтверждает, что он ознакомлен с Условиями и уведомлен о совмещении Депозитарием депозитарной деятельности с иными видами профессиональной деятельности на рынке ценных бумаг, в частности с дилерской деятельностью, брокерской деятельностью и деятельностью по доверительному управлению ценными бумагами. В случаях, не предусмотренных настоящим Договором, Стороны руководствуются Условиями и действующим законодательством Российской Федерации.</w:t>
      </w:r>
    </w:p>
    <w:p w:rsidR="001645A4" w:rsidRDefault="001645A4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8.2. Подписывая настоящий договор, Депонент выражает согласие на обработку своих персональных данных Депозитарием, в том числе в целях соблюдения требований действующего законодательства, инструкций ЦБ РФ, иных нормативно-правовых актов, регулирующих деятельность Депозитария,  продвижения на рынке услуг Депозитария, а также распространение персональных данных Депонента следующим лицам:</w:t>
      </w:r>
    </w:p>
    <w:p w:rsidR="001645A4" w:rsidRDefault="001645A4">
      <w:pPr>
        <w:jc w:val="both"/>
        <w:rPr>
          <w:sz w:val="22"/>
          <w:szCs w:val="22"/>
        </w:rPr>
      </w:pPr>
      <w:r>
        <w:rPr>
          <w:sz w:val="22"/>
          <w:szCs w:val="22"/>
        </w:rPr>
        <w:t>- аффилированным лицам и работникам Депозитария для выполнения ими должностных обязанностей;</w:t>
      </w:r>
    </w:p>
    <w:p w:rsidR="001645A4" w:rsidRDefault="001645A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независимым консультантам, экспертам и советникам, индивидуальным аудиторам, аудиторским и иным организациям, привлекаемым Депозитарием в целях получения заключений, консультаций и иных рекомендаций в любой форме, касающихся исполнения настоящего Договора и реализации Депозитарием </w:t>
      </w:r>
      <w:r>
        <w:rPr>
          <w:sz w:val="22"/>
          <w:szCs w:val="22"/>
        </w:rPr>
        <w:lastRenderedPageBreak/>
        <w:t>своих прав и обязанностей из настоящего Договора и законодательства Российской Федерации;</w:t>
      </w:r>
    </w:p>
    <w:p w:rsidR="001645A4" w:rsidRDefault="001645A4">
      <w:pPr>
        <w:jc w:val="both"/>
        <w:rPr>
          <w:sz w:val="22"/>
          <w:szCs w:val="22"/>
        </w:rPr>
      </w:pPr>
      <w:r>
        <w:rPr>
          <w:sz w:val="22"/>
          <w:szCs w:val="22"/>
        </w:rPr>
        <w:t>- третьим лицам в целях заключения Депозитарием сделок в связи с реализацией прав Депозитария по настоящему Договору, включая уступку прав требования, в том числе путем публичного размещения Депозитарием информации о возможности уступки прав требования по настоящему Договору;</w:t>
      </w:r>
    </w:p>
    <w:p w:rsidR="001645A4" w:rsidRDefault="001645A4">
      <w:pPr>
        <w:jc w:val="both"/>
        <w:rPr>
          <w:sz w:val="22"/>
          <w:szCs w:val="22"/>
        </w:rPr>
      </w:pPr>
      <w:r>
        <w:rPr>
          <w:sz w:val="22"/>
          <w:szCs w:val="22"/>
        </w:rPr>
        <w:t>- государственным органам, включая Банк России, при осуществлении ими полномочий, предусмотренных законодательством РФ;</w:t>
      </w:r>
    </w:p>
    <w:p w:rsidR="001645A4" w:rsidRDefault="001645A4">
      <w:pPr>
        <w:jc w:val="both"/>
        <w:rPr>
          <w:sz w:val="22"/>
          <w:szCs w:val="22"/>
        </w:rPr>
      </w:pPr>
      <w:r>
        <w:rPr>
          <w:sz w:val="22"/>
          <w:szCs w:val="22"/>
        </w:rPr>
        <w:t>- родственникам и работодателям Депонента, организациям в целях досудебного возврата долга Депонента в случае неисполнения Депонентом своих обязательств по настоящему Договору;</w:t>
      </w:r>
    </w:p>
    <w:p w:rsidR="001645A4" w:rsidRDefault="001645A4">
      <w:pPr>
        <w:jc w:val="both"/>
        <w:rPr>
          <w:sz w:val="22"/>
          <w:szCs w:val="22"/>
        </w:rPr>
      </w:pPr>
      <w:r>
        <w:rPr>
          <w:sz w:val="22"/>
          <w:szCs w:val="22"/>
        </w:rPr>
        <w:t>- иным лицам в процессе осуществления и защиты Депозитарием своих прав, обязанностей и законных интересов, когда предоставление персональных данных происходит в соответствии со сложившимся обычаем делового оборота.</w:t>
      </w:r>
    </w:p>
    <w:p w:rsidR="001645A4" w:rsidRDefault="001645A4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Согласие, выраженное в настоящем пункте, действует до полного исполнения обязательств по настоящему Договору, а также в течение следующих 5 (пяти) лет, если более длительный срок не предусмотрен действующим законодательством.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8.3. Все разногласия и споры Стороны решают в </w:t>
      </w:r>
      <w:r w:rsidR="00514F47" w:rsidRPr="00514F47">
        <w:rPr>
          <w:sz w:val="24"/>
        </w:rPr>
        <w:t xml:space="preserve">суде </w:t>
      </w:r>
      <w:r w:rsidR="00FF3A3E" w:rsidRPr="00FF3A3E">
        <w:rPr>
          <w:sz w:val="24"/>
        </w:rPr>
        <w:t xml:space="preserve">Центрального района Дзержинском районном суде города  Санкт-Петербурга, за исключением случаев, когда законом установлено право потребителя обратиться в иной суд за защитой своих нарушенных прав. </w:t>
      </w:r>
      <w:r w:rsidRPr="00514F47">
        <w:rPr>
          <w:sz w:val="22"/>
          <w:szCs w:val="22"/>
        </w:rPr>
        <w:t>Настоящий Договор</w:t>
      </w:r>
      <w:r>
        <w:rPr>
          <w:sz w:val="22"/>
          <w:szCs w:val="22"/>
        </w:rPr>
        <w:t xml:space="preserve"> составлен и подлежит толкованию в соответствии с законодательством Российской Федерации.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8.4. Изменение и дополнение условий настоящего Договора осуществляется путем подписания Сторонами дополнительного соглашения, которое становится неотъемлемой частью настоящего Договора. 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8.5. Условия и приложения к нему являются неотъемлемой частью настоящего Договора.</w:t>
      </w:r>
    </w:p>
    <w:p w:rsidR="001645A4" w:rsidRDefault="001645A4">
      <w:pPr>
        <w:widowControl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8.6. Настоящий Договор составлен в двух экземплярах, каждый из которых обладает равной юридической силой, по одному для каждой из Сторон.</w:t>
      </w:r>
    </w:p>
    <w:p w:rsidR="001645A4" w:rsidRDefault="001645A4">
      <w:pPr>
        <w:widowControl/>
        <w:spacing w:before="120" w:after="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 Юридические адреса и реквизиты Сторон</w:t>
      </w:r>
    </w:p>
    <w:p w:rsidR="001645A4" w:rsidRPr="00C303FC" w:rsidRDefault="001645A4">
      <w:pPr>
        <w:rPr>
          <w:b/>
          <w:sz w:val="22"/>
          <w:szCs w:val="22"/>
        </w:rPr>
      </w:pPr>
      <w:r w:rsidRPr="00C303FC">
        <w:rPr>
          <w:b/>
          <w:sz w:val="22"/>
          <w:szCs w:val="22"/>
        </w:rPr>
        <w:t>Депозитарий:</w:t>
      </w:r>
    </w:p>
    <w:p w:rsidR="001645A4" w:rsidRPr="00C303FC" w:rsidRDefault="001645A4">
      <w:pPr>
        <w:pStyle w:val="aa"/>
        <w:tabs>
          <w:tab w:val="clear" w:pos="4153"/>
          <w:tab w:val="clear" w:pos="8306"/>
        </w:tabs>
        <w:rPr>
          <w:sz w:val="22"/>
          <w:szCs w:val="22"/>
        </w:rPr>
      </w:pPr>
      <w:r w:rsidRPr="00C303FC">
        <w:rPr>
          <w:sz w:val="22"/>
          <w:szCs w:val="22"/>
        </w:rPr>
        <w:t>АО «Сити Инвест Банк»</w:t>
      </w:r>
    </w:p>
    <w:p w:rsidR="00C303FC" w:rsidRPr="00DD24B9" w:rsidRDefault="00C303FC">
      <w:pPr>
        <w:pStyle w:val="aa"/>
        <w:tabs>
          <w:tab w:val="clear" w:pos="4153"/>
          <w:tab w:val="clear" w:pos="8306"/>
        </w:tabs>
        <w:rPr>
          <w:noProof/>
          <w:sz w:val="22"/>
          <w:szCs w:val="22"/>
        </w:rPr>
      </w:pPr>
      <w:r w:rsidRPr="00C303FC">
        <w:rPr>
          <w:noProof/>
          <w:sz w:val="22"/>
          <w:szCs w:val="22"/>
        </w:rPr>
        <w:t xml:space="preserve">191187, Санкт-Петербург, ул. </w:t>
      </w:r>
      <w:r w:rsidRPr="00DD24B9">
        <w:rPr>
          <w:noProof/>
          <w:sz w:val="22"/>
          <w:szCs w:val="22"/>
        </w:rPr>
        <w:t>Шпалерная, дом 2/4, литер А</w:t>
      </w:r>
      <w:r w:rsidRPr="00DD24B9">
        <w:rPr>
          <w:noProof/>
          <w:sz w:val="22"/>
          <w:szCs w:val="22"/>
        </w:rPr>
        <w:tab/>
      </w:r>
    </w:p>
    <w:p w:rsidR="001645A4" w:rsidRPr="00DD24B9" w:rsidRDefault="001645A4">
      <w:pPr>
        <w:pStyle w:val="aa"/>
        <w:tabs>
          <w:tab w:val="clear" w:pos="4153"/>
          <w:tab w:val="clear" w:pos="8306"/>
        </w:tabs>
        <w:rPr>
          <w:sz w:val="22"/>
          <w:szCs w:val="22"/>
        </w:rPr>
      </w:pPr>
      <w:r w:rsidRPr="00DD24B9">
        <w:rPr>
          <w:sz w:val="22"/>
          <w:szCs w:val="22"/>
        </w:rPr>
        <w:t xml:space="preserve">к/с 30101810600000000702 в </w:t>
      </w:r>
      <w:r w:rsidR="00DD24B9" w:rsidRPr="00DD24B9">
        <w:rPr>
          <w:sz w:val="22"/>
          <w:szCs w:val="22"/>
        </w:rPr>
        <w:t>в Северо-Западном ГУ Банка России</w:t>
      </w:r>
      <w:r w:rsidRPr="00DD24B9">
        <w:rPr>
          <w:sz w:val="22"/>
          <w:szCs w:val="22"/>
        </w:rPr>
        <w:t>,</w:t>
      </w:r>
    </w:p>
    <w:p w:rsidR="001645A4" w:rsidRPr="00C303FC" w:rsidRDefault="001645A4">
      <w:pPr>
        <w:pStyle w:val="aa"/>
        <w:tabs>
          <w:tab w:val="clear" w:pos="4153"/>
          <w:tab w:val="clear" w:pos="8306"/>
        </w:tabs>
        <w:rPr>
          <w:sz w:val="22"/>
          <w:szCs w:val="22"/>
        </w:rPr>
      </w:pPr>
      <w:r w:rsidRPr="00C303FC">
        <w:rPr>
          <w:sz w:val="22"/>
          <w:szCs w:val="22"/>
        </w:rPr>
        <w:t>БИК</w:t>
      </w:r>
      <w:r w:rsidRPr="00C303FC">
        <w:rPr>
          <w:sz w:val="22"/>
          <w:szCs w:val="22"/>
          <w:lang w:val="en-US"/>
        </w:rPr>
        <w:t xml:space="preserve"> </w:t>
      </w:r>
      <w:r w:rsidRPr="00C303FC">
        <w:rPr>
          <w:sz w:val="22"/>
          <w:szCs w:val="22"/>
        </w:rPr>
        <w:t>044030702</w:t>
      </w:r>
    </w:p>
    <w:p w:rsidR="008206F6" w:rsidRDefault="008206F6" w:rsidP="008206F6">
      <w:pPr>
        <w:spacing w:before="120"/>
        <w:rPr>
          <w:b/>
          <w:sz w:val="24"/>
        </w:rPr>
      </w:pPr>
      <w:r>
        <w:rPr>
          <w:b/>
          <w:sz w:val="24"/>
        </w:rPr>
        <w:t>Депонент:</w:t>
      </w:r>
    </w:p>
    <w:tbl>
      <w:tblPr>
        <w:tblW w:w="0" w:type="auto"/>
        <w:tblInd w:w="-96" w:type="dxa"/>
        <w:tblLayout w:type="fixed"/>
        <w:tblCellMar>
          <w:left w:w="46" w:type="dxa"/>
          <w:right w:w="46" w:type="dxa"/>
        </w:tblCellMar>
        <w:tblLook w:val="0000"/>
      </w:tblPr>
      <w:tblGrid>
        <w:gridCol w:w="142"/>
        <w:gridCol w:w="851"/>
        <w:gridCol w:w="1134"/>
        <w:gridCol w:w="709"/>
        <w:gridCol w:w="141"/>
        <w:gridCol w:w="851"/>
        <w:gridCol w:w="425"/>
        <w:gridCol w:w="1985"/>
        <w:gridCol w:w="1701"/>
        <w:gridCol w:w="1842"/>
        <w:gridCol w:w="142"/>
      </w:tblGrid>
      <w:tr w:rsidR="008206F6" w:rsidTr="00E04A33">
        <w:trPr>
          <w:cantSplit/>
        </w:trPr>
        <w:tc>
          <w:tcPr>
            <w:tcW w:w="142" w:type="dxa"/>
          </w:tcPr>
          <w:p w:rsidR="008206F6" w:rsidRDefault="008206F6" w:rsidP="00E04A33">
            <w:pPr>
              <w:ind w:left="96" w:right="96"/>
              <w:jc w:val="both"/>
              <w:rPr>
                <w:sz w:val="24"/>
              </w:rPr>
            </w:pPr>
          </w:p>
        </w:tc>
        <w:tc>
          <w:tcPr>
            <w:tcW w:w="9639" w:type="dxa"/>
            <w:gridSpan w:val="9"/>
            <w:tcBorders>
              <w:bottom w:val="single" w:sz="2" w:space="0" w:color="auto"/>
            </w:tcBorders>
          </w:tcPr>
          <w:p w:rsidR="008206F6" w:rsidRDefault="00791D0A" w:rsidP="00E04A33">
            <w:pPr>
              <w:pStyle w:val="4"/>
              <w:ind w:hanging="96"/>
              <w:rPr>
                <w:lang w:val="en-US"/>
              </w:rPr>
            </w:pPr>
            <w: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8206F6">
              <w:instrText xml:space="preserve"> FORMTEXT </w:instrText>
            </w:r>
            <w:r>
              <w:fldChar w:fldCharType="separate"/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>
              <w:fldChar w:fldCharType="end"/>
            </w:r>
          </w:p>
        </w:tc>
        <w:tc>
          <w:tcPr>
            <w:tcW w:w="142" w:type="dxa"/>
          </w:tcPr>
          <w:p w:rsidR="008206F6" w:rsidRDefault="008206F6" w:rsidP="00E04A33">
            <w:pPr>
              <w:ind w:left="96" w:right="96"/>
              <w:jc w:val="both"/>
              <w:rPr>
                <w:sz w:val="24"/>
              </w:rPr>
            </w:pPr>
          </w:p>
        </w:tc>
      </w:tr>
      <w:tr w:rsidR="008206F6" w:rsidTr="00E04A33">
        <w:trPr>
          <w:cantSplit/>
        </w:trPr>
        <w:tc>
          <w:tcPr>
            <w:tcW w:w="142" w:type="dxa"/>
          </w:tcPr>
          <w:p w:rsidR="008206F6" w:rsidRDefault="008206F6" w:rsidP="00E04A33">
            <w:pPr>
              <w:ind w:left="96" w:right="96"/>
              <w:jc w:val="both"/>
              <w:rPr>
                <w:sz w:val="24"/>
              </w:rPr>
            </w:pPr>
          </w:p>
        </w:tc>
        <w:tc>
          <w:tcPr>
            <w:tcW w:w="2835" w:type="dxa"/>
            <w:gridSpan w:val="4"/>
          </w:tcPr>
          <w:p w:rsidR="008206F6" w:rsidRDefault="008206F6" w:rsidP="00E04A33">
            <w:pPr>
              <w:pStyle w:val="4"/>
              <w:ind w:hanging="96"/>
              <w:rPr>
                <w:b w:val="0"/>
                <w:spacing w:val="0"/>
              </w:rPr>
            </w:pPr>
            <w:r>
              <w:rPr>
                <w:b w:val="0"/>
                <w:spacing w:val="0"/>
              </w:rPr>
              <w:t>Проживающий по адресу</w:t>
            </w:r>
          </w:p>
        </w:tc>
        <w:tc>
          <w:tcPr>
            <w:tcW w:w="6804" w:type="dxa"/>
            <w:gridSpan w:val="5"/>
            <w:tcBorders>
              <w:bottom w:val="single" w:sz="2" w:space="0" w:color="auto"/>
            </w:tcBorders>
          </w:tcPr>
          <w:p w:rsidR="008206F6" w:rsidRDefault="00791D0A" w:rsidP="00E04A33">
            <w:pPr>
              <w:pStyle w:val="4"/>
              <w:ind w:hanging="1"/>
              <w:rPr>
                <w:b w:val="0"/>
              </w:rPr>
            </w:pPr>
            <w: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8206F6">
              <w:instrText xml:space="preserve"> FORMTEXT </w:instrText>
            </w:r>
            <w:r>
              <w:fldChar w:fldCharType="separate"/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>
              <w:fldChar w:fldCharType="end"/>
            </w:r>
          </w:p>
        </w:tc>
        <w:tc>
          <w:tcPr>
            <w:tcW w:w="142" w:type="dxa"/>
          </w:tcPr>
          <w:p w:rsidR="008206F6" w:rsidRDefault="008206F6" w:rsidP="00E04A33">
            <w:pPr>
              <w:pStyle w:val="4"/>
            </w:pPr>
          </w:p>
        </w:tc>
      </w:tr>
      <w:tr w:rsidR="008206F6" w:rsidTr="00E04A33">
        <w:trPr>
          <w:cantSplit/>
        </w:trPr>
        <w:tc>
          <w:tcPr>
            <w:tcW w:w="142" w:type="dxa"/>
          </w:tcPr>
          <w:p w:rsidR="008206F6" w:rsidRDefault="008206F6" w:rsidP="00E04A33">
            <w:pPr>
              <w:ind w:left="96" w:right="96"/>
              <w:jc w:val="both"/>
              <w:rPr>
                <w:sz w:val="24"/>
              </w:rPr>
            </w:pPr>
          </w:p>
        </w:tc>
        <w:tc>
          <w:tcPr>
            <w:tcW w:w="9639" w:type="dxa"/>
            <w:gridSpan w:val="9"/>
            <w:tcBorders>
              <w:bottom w:val="single" w:sz="2" w:space="0" w:color="auto"/>
            </w:tcBorders>
          </w:tcPr>
          <w:p w:rsidR="008206F6" w:rsidRDefault="00791D0A" w:rsidP="00E04A33">
            <w:pPr>
              <w:pStyle w:val="4"/>
              <w:ind w:hanging="96"/>
              <w:rPr>
                <w:lang w:val="en-US"/>
              </w:rPr>
            </w:pPr>
            <w: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8206F6">
              <w:instrText xml:space="preserve"> FORMTEXT </w:instrText>
            </w:r>
            <w:r>
              <w:fldChar w:fldCharType="separate"/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>
              <w:fldChar w:fldCharType="end"/>
            </w:r>
          </w:p>
        </w:tc>
        <w:tc>
          <w:tcPr>
            <w:tcW w:w="142" w:type="dxa"/>
          </w:tcPr>
          <w:p w:rsidR="008206F6" w:rsidRDefault="008206F6" w:rsidP="00E04A33">
            <w:pPr>
              <w:ind w:left="96" w:right="96"/>
              <w:jc w:val="both"/>
              <w:rPr>
                <w:sz w:val="24"/>
              </w:rPr>
            </w:pPr>
          </w:p>
        </w:tc>
      </w:tr>
      <w:tr w:rsidR="008206F6" w:rsidTr="00E04A33">
        <w:trPr>
          <w:cantSplit/>
        </w:trPr>
        <w:tc>
          <w:tcPr>
            <w:tcW w:w="142" w:type="dxa"/>
          </w:tcPr>
          <w:p w:rsidR="008206F6" w:rsidRDefault="008206F6" w:rsidP="00E04A33">
            <w:pPr>
              <w:ind w:left="96" w:right="96"/>
              <w:jc w:val="both"/>
              <w:rPr>
                <w:sz w:val="24"/>
              </w:rPr>
            </w:pPr>
          </w:p>
        </w:tc>
        <w:tc>
          <w:tcPr>
            <w:tcW w:w="4111" w:type="dxa"/>
            <w:gridSpan w:val="6"/>
          </w:tcPr>
          <w:p w:rsidR="008206F6" w:rsidRDefault="008206F6" w:rsidP="00E04A33">
            <w:pPr>
              <w:pStyle w:val="4"/>
              <w:ind w:hanging="96"/>
              <w:rPr>
                <w:b w:val="0"/>
                <w:spacing w:val="0"/>
              </w:rPr>
            </w:pPr>
            <w:r>
              <w:rPr>
                <w:b w:val="0"/>
                <w:spacing w:val="0"/>
              </w:rPr>
              <w:t>Документ, удостоверяющий личность</w:t>
            </w:r>
          </w:p>
        </w:tc>
        <w:tc>
          <w:tcPr>
            <w:tcW w:w="5528" w:type="dxa"/>
            <w:gridSpan w:val="3"/>
            <w:tcBorders>
              <w:bottom w:val="single" w:sz="2" w:space="0" w:color="auto"/>
            </w:tcBorders>
          </w:tcPr>
          <w:p w:rsidR="008206F6" w:rsidRDefault="00791D0A" w:rsidP="00E04A33">
            <w:pPr>
              <w:pStyle w:val="4"/>
              <w:ind w:hanging="1"/>
              <w:rPr>
                <w:b w:val="0"/>
              </w:rPr>
            </w:pPr>
            <w: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8206F6">
              <w:instrText xml:space="preserve"> FORMTEXT </w:instrText>
            </w:r>
            <w:r>
              <w:fldChar w:fldCharType="separate"/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>
              <w:fldChar w:fldCharType="end"/>
            </w:r>
          </w:p>
        </w:tc>
        <w:tc>
          <w:tcPr>
            <w:tcW w:w="142" w:type="dxa"/>
          </w:tcPr>
          <w:p w:rsidR="008206F6" w:rsidRDefault="008206F6" w:rsidP="00E04A33">
            <w:pPr>
              <w:pStyle w:val="4"/>
            </w:pPr>
          </w:p>
        </w:tc>
      </w:tr>
      <w:tr w:rsidR="008206F6" w:rsidTr="00E04A33">
        <w:trPr>
          <w:cantSplit/>
        </w:trPr>
        <w:tc>
          <w:tcPr>
            <w:tcW w:w="142" w:type="dxa"/>
          </w:tcPr>
          <w:p w:rsidR="008206F6" w:rsidRDefault="008206F6" w:rsidP="00E04A33">
            <w:pPr>
              <w:ind w:left="96" w:right="96"/>
              <w:jc w:val="both"/>
              <w:rPr>
                <w:sz w:val="24"/>
              </w:rPr>
            </w:pPr>
          </w:p>
        </w:tc>
        <w:tc>
          <w:tcPr>
            <w:tcW w:w="851" w:type="dxa"/>
          </w:tcPr>
          <w:p w:rsidR="008206F6" w:rsidRDefault="008206F6" w:rsidP="00E04A33">
            <w:pPr>
              <w:pStyle w:val="4"/>
              <w:ind w:hanging="96"/>
            </w:pPr>
            <w:r>
              <w:rPr>
                <w:b w:val="0"/>
                <w:spacing w:val="0"/>
              </w:rPr>
              <w:t>Серия</w:t>
            </w:r>
          </w:p>
        </w:tc>
        <w:tc>
          <w:tcPr>
            <w:tcW w:w="1843" w:type="dxa"/>
            <w:gridSpan w:val="2"/>
            <w:tcBorders>
              <w:bottom w:val="single" w:sz="2" w:space="0" w:color="auto"/>
            </w:tcBorders>
          </w:tcPr>
          <w:p w:rsidR="008206F6" w:rsidRDefault="00791D0A" w:rsidP="00E04A33">
            <w:pPr>
              <w:pStyle w:val="4"/>
            </w:pPr>
            <w: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8206F6">
              <w:instrText xml:space="preserve"> FORMTEXT </w:instrText>
            </w:r>
            <w:r>
              <w:fldChar w:fldCharType="separate"/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</w:tcPr>
          <w:p w:rsidR="008206F6" w:rsidRDefault="008206F6" w:rsidP="00E04A33">
            <w:pPr>
              <w:pStyle w:val="4"/>
              <w:ind w:hanging="96"/>
              <w:jc w:val="right"/>
              <w:rPr>
                <w:b w:val="0"/>
              </w:rPr>
            </w:pPr>
            <w:r>
              <w:rPr>
                <w:b w:val="0"/>
                <w:spacing w:val="0"/>
              </w:rPr>
              <w:t>Номер</w:t>
            </w:r>
          </w:p>
        </w:tc>
        <w:tc>
          <w:tcPr>
            <w:tcW w:w="2410" w:type="dxa"/>
            <w:gridSpan w:val="2"/>
            <w:tcBorders>
              <w:bottom w:val="single" w:sz="2" w:space="0" w:color="auto"/>
            </w:tcBorders>
          </w:tcPr>
          <w:p w:rsidR="008206F6" w:rsidRDefault="00791D0A" w:rsidP="00E04A33">
            <w:pPr>
              <w:pStyle w:val="4"/>
              <w:ind w:hanging="1"/>
            </w:pPr>
            <w: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8206F6">
              <w:instrText xml:space="preserve"> FORMTEXT </w:instrText>
            </w:r>
            <w:r>
              <w:fldChar w:fldCharType="separate"/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>
              <w:fldChar w:fldCharType="end"/>
            </w:r>
          </w:p>
        </w:tc>
        <w:tc>
          <w:tcPr>
            <w:tcW w:w="1701" w:type="dxa"/>
          </w:tcPr>
          <w:p w:rsidR="008206F6" w:rsidRDefault="008206F6" w:rsidP="00E04A33">
            <w:pPr>
              <w:pStyle w:val="4"/>
              <w:ind w:hanging="96"/>
              <w:jc w:val="right"/>
              <w:rPr>
                <w:b w:val="0"/>
                <w:spacing w:val="0"/>
              </w:rPr>
            </w:pPr>
            <w:r>
              <w:rPr>
                <w:b w:val="0"/>
                <w:spacing w:val="0"/>
              </w:rPr>
              <w:t>Дата выдачи</w:t>
            </w:r>
          </w:p>
        </w:tc>
        <w:tc>
          <w:tcPr>
            <w:tcW w:w="1842" w:type="dxa"/>
            <w:tcBorders>
              <w:bottom w:val="single" w:sz="2" w:space="0" w:color="auto"/>
            </w:tcBorders>
          </w:tcPr>
          <w:p w:rsidR="008206F6" w:rsidRDefault="00791D0A" w:rsidP="00E04A33">
            <w:pPr>
              <w:pStyle w:val="4"/>
              <w:ind w:hanging="1"/>
            </w:pPr>
            <w: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8206F6">
              <w:instrText xml:space="preserve"> FORMTEXT </w:instrText>
            </w:r>
            <w:r>
              <w:fldChar w:fldCharType="separate"/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>
              <w:fldChar w:fldCharType="end"/>
            </w:r>
          </w:p>
        </w:tc>
        <w:tc>
          <w:tcPr>
            <w:tcW w:w="142" w:type="dxa"/>
          </w:tcPr>
          <w:p w:rsidR="008206F6" w:rsidRDefault="008206F6" w:rsidP="00E04A33">
            <w:pPr>
              <w:pStyle w:val="4"/>
            </w:pPr>
          </w:p>
        </w:tc>
      </w:tr>
      <w:tr w:rsidR="008206F6" w:rsidTr="00E04A33">
        <w:trPr>
          <w:cantSplit/>
        </w:trPr>
        <w:tc>
          <w:tcPr>
            <w:tcW w:w="142" w:type="dxa"/>
          </w:tcPr>
          <w:p w:rsidR="008206F6" w:rsidRDefault="008206F6" w:rsidP="00E04A33">
            <w:pPr>
              <w:ind w:left="96" w:right="96"/>
              <w:jc w:val="both"/>
              <w:rPr>
                <w:sz w:val="24"/>
              </w:rPr>
            </w:pPr>
          </w:p>
        </w:tc>
        <w:tc>
          <w:tcPr>
            <w:tcW w:w="1985" w:type="dxa"/>
            <w:gridSpan w:val="2"/>
          </w:tcPr>
          <w:p w:rsidR="008206F6" w:rsidRDefault="008206F6" w:rsidP="00E04A33">
            <w:pPr>
              <w:pStyle w:val="4"/>
              <w:ind w:hanging="96"/>
              <w:rPr>
                <w:b w:val="0"/>
                <w:spacing w:val="0"/>
              </w:rPr>
            </w:pPr>
            <w:r>
              <w:rPr>
                <w:b w:val="0"/>
                <w:spacing w:val="0"/>
              </w:rPr>
              <w:t>Документ выдан</w:t>
            </w:r>
          </w:p>
        </w:tc>
        <w:tc>
          <w:tcPr>
            <w:tcW w:w="7654" w:type="dxa"/>
            <w:gridSpan w:val="7"/>
            <w:tcBorders>
              <w:bottom w:val="single" w:sz="2" w:space="0" w:color="auto"/>
            </w:tcBorders>
          </w:tcPr>
          <w:p w:rsidR="008206F6" w:rsidRDefault="00791D0A" w:rsidP="00E04A33">
            <w:pPr>
              <w:pStyle w:val="4"/>
            </w:pPr>
            <w: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8206F6">
              <w:instrText xml:space="preserve"> FORMTEXT </w:instrText>
            </w:r>
            <w:r>
              <w:fldChar w:fldCharType="separate"/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 w:rsidR="008206F6">
              <w:rPr>
                <w:rFonts w:ascii="Cambria Math" w:hAnsi="Cambria Math" w:cs="Cambria Math"/>
              </w:rPr>
              <w:t> </w:t>
            </w:r>
            <w:r>
              <w:fldChar w:fldCharType="end"/>
            </w:r>
          </w:p>
        </w:tc>
        <w:tc>
          <w:tcPr>
            <w:tcW w:w="142" w:type="dxa"/>
          </w:tcPr>
          <w:p w:rsidR="008206F6" w:rsidRDefault="008206F6" w:rsidP="00E04A33">
            <w:pPr>
              <w:pStyle w:val="4"/>
            </w:pPr>
          </w:p>
        </w:tc>
      </w:tr>
    </w:tbl>
    <w:p w:rsidR="008206F6" w:rsidRPr="00C76AFA" w:rsidRDefault="008206F6" w:rsidP="008206F6">
      <w:pPr>
        <w:pStyle w:val="aa"/>
        <w:tabs>
          <w:tab w:val="clear" w:pos="4153"/>
          <w:tab w:val="clear" w:pos="8306"/>
        </w:tabs>
        <w:rPr>
          <w:sz w:val="22"/>
          <w:szCs w:val="22"/>
        </w:rPr>
      </w:pPr>
    </w:p>
    <w:p w:rsidR="008206F6" w:rsidRPr="00C76AFA" w:rsidRDefault="008206F6" w:rsidP="008206F6">
      <w:pPr>
        <w:pStyle w:val="aa"/>
        <w:tabs>
          <w:tab w:val="clear" w:pos="4153"/>
          <w:tab w:val="clear" w:pos="8306"/>
        </w:tabs>
        <w:rPr>
          <w:sz w:val="22"/>
          <w:szCs w:val="22"/>
        </w:rPr>
      </w:pPr>
    </w:p>
    <w:p w:rsidR="008206F6" w:rsidRPr="00C76AFA" w:rsidRDefault="008206F6" w:rsidP="008206F6">
      <w:pPr>
        <w:pStyle w:val="aa"/>
        <w:tabs>
          <w:tab w:val="clear" w:pos="4153"/>
          <w:tab w:val="clear" w:pos="8306"/>
        </w:tabs>
        <w:rPr>
          <w:sz w:val="22"/>
          <w:szCs w:val="22"/>
        </w:rPr>
      </w:pPr>
    </w:p>
    <w:p w:rsidR="008206F6" w:rsidRPr="00C76AFA" w:rsidRDefault="008206F6" w:rsidP="008206F6">
      <w:pPr>
        <w:pStyle w:val="aa"/>
        <w:tabs>
          <w:tab w:val="clear" w:pos="4153"/>
          <w:tab w:val="clear" w:pos="8306"/>
        </w:tabs>
        <w:rPr>
          <w:sz w:val="22"/>
          <w:szCs w:val="22"/>
        </w:rPr>
      </w:pPr>
    </w:p>
    <w:tbl>
      <w:tblPr>
        <w:tblW w:w="0" w:type="auto"/>
        <w:tblLayout w:type="fixed"/>
        <w:tblLook w:val="0000"/>
      </w:tblPr>
      <w:tblGrid>
        <w:gridCol w:w="4503"/>
        <w:gridCol w:w="850"/>
        <w:gridCol w:w="4394"/>
      </w:tblGrid>
      <w:tr w:rsidR="008206F6" w:rsidRPr="00C76AFA" w:rsidTr="00E04A33">
        <w:tc>
          <w:tcPr>
            <w:tcW w:w="4503" w:type="dxa"/>
            <w:tcBorders>
              <w:bottom w:val="single" w:sz="2" w:space="0" w:color="auto"/>
            </w:tcBorders>
          </w:tcPr>
          <w:p w:rsidR="008206F6" w:rsidRPr="00C76AFA" w:rsidRDefault="008206F6" w:rsidP="00E04A33">
            <w:pPr>
              <w:pStyle w:val="aa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Правления</w:t>
            </w:r>
          </w:p>
        </w:tc>
        <w:tc>
          <w:tcPr>
            <w:tcW w:w="850" w:type="dxa"/>
          </w:tcPr>
          <w:p w:rsidR="008206F6" w:rsidRPr="00C76AFA" w:rsidRDefault="008206F6" w:rsidP="00E04A33">
            <w:pPr>
              <w:pStyle w:val="aa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4394" w:type="dxa"/>
            <w:tcBorders>
              <w:bottom w:val="single" w:sz="2" w:space="0" w:color="auto"/>
            </w:tcBorders>
          </w:tcPr>
          <w:p w:rsidR="008206F6" w:rsidRPr="00C76AFA" w:rsidRDefault="008206F6" w:rsidP="00E04A33">
            <w:pPr>
              <w:pStyle w:val="aa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</w:tr>
      <w:tr w:rsidR="008206F6" w:rsidRPr="00C76AFA" w:rsidTr="00E04A33">
        <w:tc>
          <w:tcPr>
            <w:tcW w:w="4503" w:type="dxa"/>
          </w:tcPr>
          <w:p w:rsidR="008206F6" w:rsidRPr="00C76AFA" w:rsidRDefault="00791D0A" w:rsidP="00E04A33">
            <w:pPr>
              <w:pStyle w:val="aa"/>
              <w:tabs>
                <w:tab w:val="clear" w:pos="4153"/>
                <w:tab w:val="clear" w:pos="8306"/>
              </w:tabs>
              <w:rPr>
                <w:b/>
                <w:spacing w:val="-10"/>
                <w:sz w:val="22"/>
                <w:szCs w:val="22"/>
              </w:rPr>
            </w:pPr>
            <w:r w:rsidRPr="00C76AFA">
              <w:rPr>
                <w:b/>
                <w:spacing w:val="-10"/>
                <w:sz w:val="22"/>
                <w:szCs w:val="22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8206F6" w:rsidRPr="00C76AFA">
              <w:rPr>
                <w:b/>
                <w:spacing w:val="-10"/>
                <w:sz w:val="22"/>
                <w:szCs w:val="22"/>
              </w:rPr>
              <w:instrText xml:space="preserve"> FORMTEXT </w:instrText>
            </w:r>
            <w:r w:rsidRPr="00C76AFA">
              <w:rPr>
                <w:b/>
                <w:spacing w:val="-10"/>
                <w:sz w:val="22"/>
                <w:szCs w:val="22"/>
              </w:rPr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separate"/>
            </w:r>
            <w:r w:rsidR="008206F6" w:rsidRPr="00C76AFA">
              <w:rPr>
                <w:rFonts w:ascii="Cambria Math" w:hAnsi="Cambria Math" w:cs="Cambria Math"/>
                <w:b/>
                <w:spacing w:val="-10"/>
                <w:sz w:val="22"/>
                <w:szCs w:val="22"/>
              </w:rPr>
              <w:t> </w:t>
            </w:r>
            <w:r w:rsidR="008206F6" w:rsidRPr="00C76AFA">
              <w:rPr>
                <w:rFonts w:ascii="Cambria Math" w:hAnsi="Cambria Math" w:cs="Cambria Math"/>
                <w:b/>
                <w:spacing w:val="-10"/>
                <w:sz w:val="22"/>
                <w:szCs w:val="22"/>
              </w:rPr>
              <w:t> </w:t>
            </w:r>
            <w:r w:rsidR="008206F6" w:rsidRPr="00C76AFA">
              <w:rPr>
                <w:rFonts w:ascii="Cambria Math" w:hAnsi="Cambria Math" w:cs="Cambria Math"/>
                <w:b/>
                <w:spacing w:val="-10"/>
                <w:sz w:val="22"/>
                <w:szCs w:val="22"/>
              </w:rPr>
              <w:t> </w:t>
            </w:r>
            <w:r w:rsidR="008206F6" w:rsidRPr="00C76AFA">
              <w:rPr>
                <w:rFonts w:ascii="Cambria Math" w:hAnsi="Cambria Math" w:cs="Cambria Math"/>
                <w:b/>
                <w:spacing w:val="-10"/>
                <w:sz w:val="22"/>
                <w:szCs w:val="22"/>
              </w:rPr>
              <w:t> </w:t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end"/>
            </w:r>
          </w:p>
          <w:p w:rsidR="008206F6" w:rsidRPr="00C76AFA" w:rsidRDefault="008206F6" w:rsidP="00E04A33">
            <w:pPr>
              <w:pStyle w:val="aa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>
              <w:rPr>
                <w:b/>
                <w:spacing w:val="-10"/>
                <w:sz w:val="22"/>
                <w:szCs w:val="22"/>
              </w:rPr>
              <w:t>Дядичкин П.Н.</w:t>
            </w:r>
          </w:p>
        </w:tc>
        <w:tc>
          <w:tcPr>
            <w:tcW w:w="850" w:type="dxa"/>
          </w:tcPr>
          <w:p w:rsidR="008206F6" w:rsidRPr="00C76AFA" w:rsidRDefault="008206F6" w:rsidP="00E04A33">
            <w:pPr>
              <w:pStyle w:val="aa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bookmarkStart w:id="0" w:name="ÒåêñòîâîåÏîëå11"/>
        <w:tc>
          <w:tcPr>
            <w:tcW w:w="4394" w:type="dxa"/>
          </w:tcPr>
          <w:p w:rsidR="008206F6" w:rsidRPr="00C76AFA" w:rsidRDefault="00791D0A" w:rsidP="00E04A33">
            <w:pPr>
              <w:pStyle w:val="aa"/>
              <w:tabs>
                <w:tab w:val="clear" w:pos="4153"/>
                <w:tab w:val="clear" w:pos="8306"/>
              </w:tabs>
              <w:rPr>
                <w:b/>
                <w:spacing w:val="-10"/>
                <w:sz w:val="22"/>
                <w:szCs w:val="22"/>
              </w:rPr>
            </w:pPr>
            <w:r w:rsidRPr="00C76AFA">
              <w:rPr>
                <w:b/>
                <w:spacing w:val="-10"/>
                <w:sz w:val="22"/>
                <w:szCs w:val="22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8206F6" w:rsidRPr="00C76AFA">
              <w:rPr>
                <w:b/>
                <w:spacing w:val="-10"/>
                <w:sz w:val="22"/>
                <w:szCs w:val="22"/>
              </w:rPr>
              <w:instrText xml:space="preserve"> FORMTEXT </w:instrText>
            </w:r>
            <w:r w:rsidRPr="00C76AFA">
              <w:rPr>
                <w:b/>
                <w:spacing w:val="-10"/>
                <w:sz w:val="22"/>
                <w:szCs w:val="22"/>
              </w:rPr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separate"/>
            </w:r>
            <w:r w:rsidR="008206F6" w:rsidRPr="00C76AFA">
              <w:rPr>
                <w:rFonts w:ascii="Cambria Math" w:hAnsi="Cambria Math" w:cs="Cambria Math"/>
                <w:b/>
                <w:spacing w:val="-10"/>
                <w:sz w:val="22"/>
                <w:szCs w:val="22"/>
              </w:rPr>
              <w:t> </w:t>
            </w:r>
            <w:r w:rsidR="008206F6" w:rsidRPr="00C76AFA">
              <w:rPr>
                <w:rFonts w:ascii="Cambria Math" w:hAnsi="Cambria Math" w:cs="Cambria Math"/>
                <w:b/>
                <w:spacing w:val="-10"/>
                <w:sz w:val="22"/>
                <w:szCs w:val="22"/>
              </w:rPr>
              <w:t> </w:t>
            </w:r>
            <w:r w:rsidR="008206F6" w:rsidRPr="00C76AFA">
              <w:rPr>
                <w:rFonts w:ascii="Cambria Math" w:hAnsi="Cambria Math" w:cs="Cambria Math"/>
                <w:b/>
                <w:spacing w:val="-10"/>
                <w:sz w:val="22"/>
                <w:szCs w:val="22"/>
              </w:rPr>
              <w:t> </w:t>
            </w:r>
            <w:r w:rsidR="008206F6" w:rsidRPr="00C76AFA">
              <w:rPr>
                <w:rFonts w:ascii="Cambria Math" w:hAnsi="Cambria Math" w:cs="Cambria Math"/>
                <w:b/>
                <w:spacing w:val="-10"/>
                <w:sz w:val="22"/>
                <w:szCs w:val="22"/>
              </w:rPr>
              <w:t> </w:t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end"/>
            </w:r>
            <w:bookmarkEnd w:id="0"/>
          </w:p>
          <w:bookmarkStart w:id="1" w:name="ÒåêñòîâîåÏîëå12"/>
          <w:p w:rsidR="008206F6" w:rsidRPr="00C76AFA" w:rsidRDefault="00791D0A" w:rsidP="00E04A33">
            <w:pPr>
              <w:pStyle w:val="aa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C76AFA">
              <w:rPr>
                <w:b/>
                <w:spacing w:val="-10"/>
                <w:sz w:val="22"/>
                <w:szCs w:val="22"/>
              </w:rPr>
              <w:fldChar w:fldCharType="begin">
                <w:ffData>
                  <w:name w:val="ТекстовоеПоле12"/>
                  <w:enabled/>
                  <w:calcOnExit w:val="0"/>
                  <w:textInput>
                    <w:default w:val="Депонент"/>
                  </w:textInput>
                </w:ffData>
              </w:fldChar>
            </w:r>
            <w:r w:rsidR="008206F6" w:rsidRPr="00C76AFA">
              <w:rPr>
                <w:b/>
                <w:spacing w:val="-10"/>
                <w:sz w:val="22"/>
                <w:szCs w:val="22"/>
              </w:rPr>
              <w:instrText xml:space="preserve"> FORMTEXT </w:instrText>
            </w:r>
            <w:r w:rsidRPr="00C76AFA">
              <w:rPr>
                <w:b/>
                <w:spacing w:val="-10"/>
                <w:sz w:val="22"/>
                <w:szCs w:val="22"/>
              </w:rPr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separate"/>
            </w:r>
            <w:r w:rsidR="008206F6" w:rsidRPr="00C76AFA">
              <w:rPr>
                <w:b/>
                <w:noProof/>
                <w:spacing w:val="-10"/>
                <w:sz w:val="22"/>
                <w:szCs w:val="22"/>
              </w:rPr>
              <w:t>Депонент</w:t>
            </w:r>
            <w:r w:rsidRPr="00C76AFA">
              <w:rPr>
                <w:b/>
                <w:spacing w:val="-10"/>
                <w:sz w:val="22"/>
                <w:szCs w:val="22"/>
              </w:rPr>
              <w:fldChar w:fldCharType="end"/>
            </w:r>
            <w:bookmarkEnd w:id="1"/>
          </w:p>
        </w:tc>
      </w:tr>
      <w:tr w:rsidR="008206F6" w:rsidRPr="00C76AFA" w:rsidTr="00E04A33">
        <w:tc>
          <w:tcPr>
            <w:tcW w:w="4503" w:type="dxa"/>
          </w:tcPr>
          <w:p w:rsidR="008206F6" w:rsidRPr="00C76AFA" w:rsidRDefault="008206F6" w:rsidP="00E04A33">
            <w:pPr>
              <w:pStyle w:val="aa"/>
              <w:tabs>
                <w:tab w:val="clear" w:pos="4153"/>
                <w:tab w:val="clear" w:pos="8306"/>
              </w:tabs>
              <w:jc w:val="center"/>
              <w:rPr>
                <w:spacing w:val="-10"/>
                <w:sz w:val="22"/>
                <w:szCs w:val="22"/>
              </w:rPr>
            </w:pPr>
            <w:r w:rsidRPr="00C76AFA">
              <w:rPr>
                <w:spacing w:val="-10"/>
                <w:sz w:val="22"/>
                <w:szCs w:val="22"/>
              </w:rPr>
              <w:t>М</w:t>
            </w:r>
            <w:r w:rsidR="00421074">
              <w:rPr>
                <w:spacing w:val="-10"/>
                <w:sz w:val="22"/>
                <w:szCs w:val="22"/>
              </w:rPr>
              <w:t>.</w:t>
            </w:r>
            <w:r w:rsidRPr="00C76AFA">
              <w:rPr>
                <w:spacing w:val="-10"/>
                <w:sz w:val="22"/>
                <w:szCs w:val="22"/>
              </w:rPr>
              <w:t>П</w:t>
            </w:r>
            <w:r w:rsidR="00421074">
              <w:rPr>
                <w:spacing w:val="-10"/>
                <w:sz w:val="22"/>
                <w:szCs w:val="22"/>
              </w:rPr>
              <w:t>.</w:t>
            </w:r>
          </w:p>
        </w:tc>
        <w:tc>
          <w:tcPr>
            <w:tcW w:w="850" w:type="dxa"/>
          </w:tcPr>
          <w:p w:rsidR="008206F6" w:rsidRPr="00C76AFA" w:rsidRDefault="008206F6" w:rsidP="00E04A33">
            <w:pPr>
              <w:pStyle w:val="aa"/>
              <w:tabs>
                <w:tab w:val="clear" w:pos="4153"/>
                <w:tab w:val="clear" w:pos="8306"/>
              </w:tabs>
              <w:rPr>
                <w:spacing w:val="-10"/>
                <w:sz w:val="22"/>
                <w:szCs w:val="22"/>
              </w:rPr>
            </w:pPr>
          </w:p>
        </w:tc>
        <w:tc>
          <w:tcPr>
            <w:tcW w:w="4394" w:type="dxa"/>
          </w:tcPr>
          <w:p w:rsidR="008206F6" w:rsidRPr="00C76AFA" w:rsidRDefault="008206F6" w:rsidP="00D86CB5">
            <w:pPr>
              <w:pStyle w:val="aa"/>
              <w:tabs>
                <w:tab w:val="clear" w:pos="4153"/>
                <w:tab w:val="clear" w:pos="8306"/>
              </w:tabs>
              <w:jc w:val="center"/>
              <w:rPr>
                <w:spacing w:val="-10"/>
                <w:sz w:val="22"/>
                <w:szCs w:val="22"/>
              </w:rPr>
            </w:pPr>
          </w:p>
        </w:tc>
      </w:tr>
    </w:tbl>
    <w:p w:rsidR="001645A4" w:rsidRDefault="001645A4">
      <w:pPr>
        <w:widowControl/>
        <w:spacing w:before="180" w:after="60"/>
        <w:jc w:val="center"/>
      </w:pPr>
    </w:p>
    <w:sectPr w:rsidR="001645A4" w:rsidSect="008226FA">
      <w:headerReference w:type="default" r:id="rId7"/>
      <w:footerReference w:type="default" r:id="rId8"/>
      <w:footnotePr>
        <w:pos w:val="beneathText"/>
      </w:footnotePr>
      <w:pgSz w:w="11905" w:h="16837"/>
      <w:pgMar w:top="1134" w:right="851" w:bottom="1134" w:left="851" w:header="720" w:footer="51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25FB" w:rsidRDefault="00AE25FB">
      <w:r>
        <w:separator/>
      </w:r>
    </w:p>
  </w:endnote>
  <w:endnote w:type="continuationSeparator" w:id="1">
    <w:p w:rsidR="00AE25FB" w:rsidRDefault="00AE25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5A4" w:rsidRDefault="00791D0A">
    <w:pPr>
      <w:pStyle w:val="a8"/>
      <w:widowControl/>
      <w:tabs>
        <w:tab w:val="left" w:pos="8647"/>
        <w:tab w:val="left" w:pos="8789"/>
      </w:tabs>
      <w:ind w:right="360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547.6pt;margin-top:.05pt;width:5.05pt;height:11.75pt;z-index:251657728;mso-wrap-distance-left:0;mso-wrap-distance-right:0;mso-position-horizontal-relative:page" stroked="f">
          <v:fill opacity="0" color2="black"/>
          <v:textbox inset="0,0,0,0">
            <w:txbxContent>
              <w:p w:rsidR="001645A4" w:rsidRDefault="00791D0A">
                <w:pPr>
                  <w:pStyle w:val="a8"/>
                </w:pPr>
                <w:r>
                  <w:rPr>
                    <w:rStyle w:val="a3"/>
                  </w:rPr>
                  <w:fldChar w:fldCharType="begin"/>
                </w:r>
                <w:r w:rsidR="001645A4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FF3A3E">
                  <w:rPr>
                    <w:rStyle w:val="a3"/>
                    <w:noProof/>
                  </w:rPr>
                  <w:t>6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1645A4"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25FB" w:rsidRDefault="00AE25FB">
      <w:r>
        <w:separator/>
      </w:r>
    </w:p>
  </w:footnote>
  <w:footnote w:type="continuationSeparator" w:id="1">
    <w:p w:rsidR="00AE25FB" w:rsidRDefault="00AE25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5A4" w:rsidRDefault="001645A4">
    <w:pPr>
      <w:pStyle w:val="aa"/>
    </w:pPr>
    <w:r>
      <w:t xml:space="preserve">Договор о депозитарном обслуживании физического лица                                                                          </w:t>
    </w:r>
    <w:r w:rsidR="0036277E">
      <w:t>Приложение</w:t>
    </w:r>
    <w:r w:rsidR="00562F9F">
      <w:t xml:space="preserve"> 1А</w:t>
    </w:r>
  </w:p>
  <w:p w:rsidR="0036277E" w:rsidRDefault="0036277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283" w:hanging="283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lvl w:ilvl="0">
      <w:numFmt w:val="bullet"/>
      <w:lvlText w:val=""/>
      <w:lvlJc w:val="left"/>
      <w:pPr>
        <w:tabs>
          <w:tab w:val="num" w:pos="0"/>
        </w:tabs>
        <w:ind w:left="567" w:hanging="283"/>
      </w:pPr>
      <w:rPr>
        <w:rFonts w:ascii="Symbol" w:hAnsi="Symbol"/>
      </w:rPr>
    </w:lvl>
  </w:abstractNum>
  <w:abstractNum w:abstractNumId="3">
    <w:nsid w:val="00000004"/>
    <w:multiLevelType w:val="multilevel"/>
    <w:tmpl w:val="00000004"/>
    <w:name w:val="WW8StyleNum"/>
    <w:lvl w:ilvl="0">
      <w:start w:val="1"/>
      <w:numFmt w:val="bullet"/>
      <w:lvlText w:null="1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142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4">
      <o:colormenu v:ext="edit" fillcolor="none [4]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C303FC"/>
    <w:rsid w:val="00070027"/>
    <w:rsid w:val="0009425E"/>
    <w:rsid w:val="001212D3"/>
    <w:rsid w:val="001466CA"/>
    <w:rsid w:val="001645A4"/>
    <w:rsid w:val="0022781E"/>
    <w:rsid w:val="002E46CB"/>
    <w:rsid w:val="0036277E"/>
    <w:rsid w:val="00421074"/>
    <w:rsid w:val="00460F42"/>
    <w:rsid w:val="0049246F"/>
    <w:rsid w:val="00514F47"/>
    <w:rsid w:val="00562F9F"/>
    <w:rsid w:val="00791D0A"/>
    <w:rsid w:val="008206F6"/>
    <w:rsid w:val="008226FA"/>
    <w:rsid w:val="00854043"/>
    <w:rsid w:val="009B122A"/>
    <w:rsid w:val="009B7D2E"/>
    <w:rsid w:val="009E7B76"/>
    <w:rsid w:val="00A067EC"/>
    <w:rsid w:val="00AE25FB"/>
    <w:rsid w:val="00B769DF"/>
    <w:rsid w:val="00B92773"/>
    <w:rsid w:val="00C303FC"/>
    <w:rsid w:val="00C92DCD"/>
    <w:rsid w:val="00CB0D04"/>
    <w:rsid w:val="00D86CB5"/>
    <w:rsid w:val="00DD24B9"/>
    <w:rsid w:val="00F42D2D"/>
    <w:rsid w:val="00FB3C21"/>
    <w:rsid w:val="00FF3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6FA"/>
    <w:pPr>
      <w:widowControl w:val="0"/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8226FA"/>
    <w:pPr>
      <w:keepNext/>
      <w:widowControl/>
      <w:tabs>
        <w:tab w:val="num" w:pos="432"/>
      </w:tabs>
      <w:ind w:right="-142"/>
      <w:jc w:val="center"/>
      <w:outlineLvl w:val="0"/>
    </w:pPr>
    <w:rPr>
      <w:b/>
      <w:spacing w:val="-20"/>
      <w:sz w:val="24"/>
    </w:rPr>
  </w:style>
  <w:style w:type="paragraph" w:styleId="2">
    <w:name w:val="heading 2"/>
    <w:basedOn w:val="a"/>
    <w:next w:val="a"/>
    <w:qFormat/>
    <w:rsid w:val="008226FA"/>
    <w:pPr>
      <w:keepNext/>
      <w:tabs>
        <w:tab w:val="num" w:pos="576"/>
      </w:tabs>
      <w:ind w:left="96" w:right="96" w:firstLine="284"/>
      <w:jc w:val="both"/>
      <w:outlineLvl w:val="1"/>
    </w:pPr>
    <w:rPr>
      <w:sz w:val="24"/>
    </w:rPr>
  </w:style>
  <w:style w:type="paragraph" w:styleId="3">
    <w:name w:val="heading 3"/>
    <w:basedOn w:val="a"/>
    <w:next w:val="a"/>
    <w:qFormat/>
    <w:rsid w:val="008226FA"/>
    <w:pPr>
      <w:keepNext/>
      <w:tabs>
        <w:tab w:val="num" w:pos="720"/>
      </w:tabs>
      <w:ind w:left="96" w:right="96"/>
      <w:jc w:val="both"/>
      <w:outlineLvl w:val="2"/>
    </w:pPr>
    <w:rPr>
      <w:spacing w:val="-4"/>
      <w:sz w:val="24"/>
    </w:rPr>
  </w:style>
  <w:style w:type="paragraph" w:styleId="4">
    <w:name w:val="heading 4"/>
    <w:basedOn w:val="a"/>
    <w:next w:val="a"/>
    <w:qFormat/>
    <w:rsid w:val="008226FA"/>
    <w:pPr>
      <w:keepNext/>
      <w:tabs>
        <w:tab w:val="num" w:pos="864"/>
      </w:tabs>
      <w:ind w:left="96" w:right="96"/>
      <w:jc w:val="both"/>
      <w:outlineLvl w:val="3"/>
    </w:pPr>
    <w:rPr>
      <w:b/>
      <w:spacing w:val="-10"/>
      <w:sz w:val="24"/>
    </w:rPr>
  </w:style>
  <w:style w:type="paragraph" w:styleId="5">
    <w:name w:val="heading 5"/>
    <w:basedOn w:val="a"/>
    <w:next w:val="a"/>
    <w:qFormat/>
    <w:rsid w:val="008226FA"/>
    <w:pPr>
      <w:keepNext/>
      <w:widowControl/>
      <w:tabs>
        <w:tab w:val="num" w:pos="1008"/>
      </w:tabs>
      <w:ind w:right="-142"/>
      <w:outlineLvl w:val="4"/>
    </w:pPr>
    <w:rPr>
      <w:b/>
      <w:spacing w:val="-20"/>
      <w:sz w:val="24"/>
    </w:rPr>
  </w:style>
  <w:style w:type="paragraph" w:styleId="6">
    <w:name w:val="heading 6"/>
    <w:basedOn w:val="a"/>
    <w:next w:val="a"/>
    <w:qFormat/>
    <w:rsid w:val="008226FA"/>
    <w:pPr>
      <w:keepNext/>
      <w:widowControl/>
      <w:tabs>
        <w:tab w:val="num" w:pos="1152"/>
      </w:tabs>
      <w:ind w:left="1152" w:hanging="1152"/>
      <w:outlineLvl w:val="5"/>
    </w:pPr>
    <w:rPr>
      <w:b/>
      <w:spacing w:val="-20"/>
      <w:sz w:val="24"/>
    </w:rPr>
  </w:style>
  <w:style w:type="paragraph" w:styleId="7">
    <w:name w:val="heading 7"/>
    <w:basedOn w:val="a"/>
    <w:next w:val="a"/>
    <w:qFormat/>
    <w:rsid w:val="008226FA"/>
    <w:pPr>
      <w:keepNext/>
      <w:widowControl/>
      <w:tabs>
        <w:tab w:val="num" w:pos="1296"/>
      </w:tabs>
      <w:spacing w:line="480" w:lineRule="auto"/>
      <w:ind w:right="-142"/>
      <w:outlineLvl w:val="6"/>
    </w:pPr>
    <w:rPr>
      <w:sz w:val="24"/>
    </w:rPr>
  </w:style>
  <w:style w:type="paragraph" w:styleId="9">
    <w:name w:val="heading 9"/>
    <w:basedOn w:val="a"/>
    <w:next w:val="a"/>
    <w:qFormat/>
    <w:rsid w:val="008226FA"/>
    <w:pPr>
      <w:keepNext/>
      <w:widowControl/>
      <w:tabs>
        <w:tab w:val="num" w:pos="1584"/>
      </w:tabs>
      <w:ind w:left="1584" w:hanging="1584"/>
      <w:jc w:val="right"/>
      <w:outlineLvl w:val="8"/>
    </w:pPr>
    <w:rPr>
      <w:b/>
      <w:i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8226FA"/>
    <w:rPr>
      <w:rFonts w:ascii="Times New Roman" w:hAnsi="Times New Roman"/>
      <w:sz w:val="20"/>
    </w:rPr>
  </w:style>
  <w:style w:type="character" w:customStyle="1" w:styleId="WW8Num3z0">
    <w:name w:val="WW8Num3z0"/>
    <w:rsid w:val="008226FA"/>
    <w:rPr>
      <w:rFonts w:ascii="Symbol" w:hAnsi="Symbol"/>
    </w:rPr>
  </w:style>
  <w:style w:type="character" w:customStyle="1" w:styleId="WW8NumSt1z0">
    <w:name w:val="WW8NumSt1z0"/>
    <w:rsid w:val="008226FA"/>
    <w:rPr>
      <w:rFonts w:ascii="Times" w:hAnsi="Times"/>
    </w:rPr>
  </w:style>
  <w:style w:type="character" w:customStyle="1" w:styleId="WW8NumSt2z0">
    <w:name w:val="WW8NumSt2z0"/>
    <w:rsid w:val="008226FA"/>
    <w:rPr>
      <w:rFonts w:ascii="Times New Roman" w:hAnsi="Times New Roman"/>
      <w:sz w:val="20"/>
    </w:rPr>
  </w:style>
  <w:style w:type="character" w:customStyle="1" w:styleId="WW8NumSt3z0">
    <w:name w:val="WW8NumSt3z0"/>
    <w:rsid w:val="008226FA"/>
    <w:rPr>
      <w:rFonts w:ascii="Times" w:hAnsi="Times"/>
    </w:rPr>
  </w:style>
  <w:style w:type="character" w:customStyle="1" w:styleId="WW8NumSt5z0">
    <w:name w:val="WW8NumSt5z0"/>
    <w:rsid w:val="008226FA"/>
    <w:rPr>
      <w:rFonts w:ascii="Symbol" w:hAnsi="Symbol"/>
    </w:rPr>
  </w:style>
  <w:style w:type="character" w:customStyle="1" w:styleId="WW8NumSt6z0">
    <w:name w:val="WW8NumSt6z0"/>
    <w:rsid w:val="008226FA"/>
    <w:rPr>
      <w:rFonts w:ascii="Symbol" w:hAnsi="Symbol"/>
    </w:rPr>
  </w:style>
  <w:style w:type="character" w:customStyle="1" w:styleId="10">
    <w:name w:val="Основной шрифт абзаца1"/>
    <w:rsid w:val="008226FA"/>
  </w:style>
  <w:style w:type="character" w:styleId="a3">
    <w:name w:val="page number"/>
    <w:basedOn w:val="10"/>
    <w:semiHidden/>
    <w:rsid w:val="008226FA"/>
    <w:rPr>
      <w:sz w:val="20"/>
    </w:rPr>
  </w:style>
  <w:style w:type="character" w:customStyle="1" w:styleId="a4">
    <w:name w:val="Символ сноски"/>
    <w:basedOn w:val="10"/>
    <w:rsid w:val="008226FA"/>
    <w:rPr>
      <w:sz w:val="20"/>
      <w:vertAlign w:val="superscript"/>
    </w:rPr>
  </w:style>
  <w:style w:type="paragraph" w:customStyle="1" w:styleId="a5">
    <w:name w:val="Заголовок"/>
    <w:basedOn w:val="a"/>
    <w:next w:val="a6"/>
    <w:rsid w:val="008226FA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6">
    <w:name w:val="Body Text"/>
    <w:basedOn w:val="a"/>
    <w:semiHidden/>
    <w:rsid w:val="008226FA"/>
    <w:pPr>
      <w:spacing w:after="120"/>
      <w:ind w:firstLine="567"/>
      <w:jc w:val="both"/>
    </w:pPr>
    <w:rPr>
      <w:sz w:val="28"/>
    </w:rPr>
  </w:style>
  <w:style w:type="paragraph" w:styleId="a7">
    <w:name w:val="List"/>
    <w:basedOn w:val="a6"/>
    <w:semiHidden/>
    <w:rsid w:val="008226FA"/>
    <w:rPr>
      <w:rFonts w:cs="Tahoma"/>
    </w:rPr>
  </w:style>
  <w:style w:type="paragraph" w:customStyle="1" w:styleId="11">
    <w:name w:val="Название1"/>
    <w:basedOn w:val="a"/>
    <w:rsid w:val="008226F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8226FA"/>
    <w:pPr>
      <w:suppressLineNumbers/>
    </w:pPr>
    <w:rPr>
      <w:rFonts w:cs="Tahoma"/>
    </w:rPr>
  </w:style>
  <w:style w:type="paragraph" w:customStyle="1" w:styleId="13">
    <w:name w:val="Маркированный список1"/>
    <w:basedOn w:val="a"/>
    <w:rsid w:val="008226FA"/>
    <w:pPr>
      <w:tabs>
        <w:tab w:val="num" w:pos="283"/>
      </w:tabs>
      <w:ind w:left="283" w:hanging="283"/>
    </w:pPr>
  </w:style>
  <w:style w:type="paragraph" w:styleId="a8">
    <w:name w:val="footer"/>
    <w:basedOn w:val="a"/>
    <w:semiHidden/>
    <w:rsid w:val="008226FA"/>
    <w:pPr>
      <w:tabs>
        <w:tab w:val="center" w:pos="4536"/>
        <w:tab w:val="right" w:pos="9072"/>
      </w:tabs>
    </w:pPr>
  </w:style>
  <w:style w:type="paragraph" w:styleId="a9">
    <w:name w:val="footnote text"/>
    <w:basedOn w:val="a"/>
    <w:semiHidden/>
    <w:rsid w:val="008226FA"/>
  </w:style>
  <w:style w:type="paragraph" w:styleId="aa">
    <w:name w:val="header"/>
    <w:basedOn w:val="a"/>
    <w:rsid w:val="008226FA"/>
    <w:pPr>
      <w:tabs>
        <w:tab w:val="center" w:pos="4153"/>
        <w:tab w:val="right" w:pos="8306"/>
      </w:tabs>
    </w:pPr>
  </w:style>
  <w:style w:type="paragraph" w:customStyle="1" w:styleId="21">
    <w:name w:val="Основной текст с отступом 21"/>
    <w:basedOn w:val="a"/>
    <w:rsid w:val="008226FA"/>
    <w:pPr>
      <w:widowControl/>
      <w:ind w:firstLine="284"/>
      <w:jc w:val="both"/>
    </w:pPr>
    <w:rPr>
      <w:color w:val="0000FF"/>
      <w:sz w:val="24"/>
    </w:rPr>
  </w:style>
  <w:style w:type="paragraph" w:customStyle="1" w:styleId="14">
    <w:name w:val="Основной текст с отступом1"/>
    <w:basedOn w:val="a"/>
    <w:rsid w:val="008226FA"/>
    <w:pPr>
      <w:ind w:firstLine="720"/>
      <w:jc w:val="both"/>
    </w:pPr>
    <w:rPr>
      <w:i/>
      <w:lang w:val="en-AU"/>
    </w:rPr>
  </w:style>
  <w:style w:type="paragraph" w:customStyle="1" w:styleId="210">
    <w:name w:val="Основной текст 21"/>
    <w:basedOn w:val="a"/>
    <w:rsid w:val="008226FA"/>
    <w:pPr>
      <w:ind w:firstLine="284"/>
      <w:jc w:val="both"/>
    </w:pPr>
    <w:rPr>
      <w:sz w:val="24"/>
    </w:rPr>
  </w:style>
  <w:style w:type="paragraph" w:customStyle="1" w:styleId="15">
    <w:name w:val="çàãîëîâîê 1"/>
    <w:basedOn w:val="a"/>
    <w:next w:val="a"/>
    <w:rsid w:val="008226FA"/>
    <w:pPr>
      <w:keepNext/>
      <w:spacing w:before="360" w:after="120"/>
      <w:jc w:val="center"/>
    </w:pPr>
    <w:rPr>
      <w:b/>
      <w:kern w:val="1"/>
      <w:sz w:val="24"/>
    </w:rPr>
  </w:style>
  <w:style w:type="paragraph" w:styleId="ab">
    <w:name w:val="Body Text Indent"/>
    <w:basedOn w:val="a"/>
    <w:semiHidden/>
    <w:rsid w:val="008226FA"/>
    <w:pPr>
      <w:widowControl/>
      <w:ind w:firstLine="426"/>
      <w:jc w:val="both"/>
    </w:pPr>
    <w:rPr>
      <w:sz w:val="24"/>
    </w:rPr>
  </w:style>
  <w:style w:type="paragraph" w:customStyle="1" w:styleId="ConsNormal">
    <w:name w:val="ConsNormal"/>
    <w:rsid w:val="008226FA"/>
    <w:pPr>
      <w:widowControl w:val="0"/>
      <w:suppressAutoHyphens/>
      <w:ind w:firstLine="720"/>
    </w:pPr>
    <w:rPr>
      <w:rFonts w:ascii="Courier New" w:eastAsia="Arial" w:hAnsi="Courier New"/>
      <w:sz w:val="18"/>
      <w:lang w:eastAsia="ar-SA"/>
    </w:rPr>
  </w:style>
  <w:style w:type="paragraph" w:customStyle="1" w:styleId="ac">
    <w:name w:val="Содержимое таблицы"/>
    <w:basedOn w:val="a"/>
    <w:rsid w:val="008226FA"/>
    <w:pPr>
      <w:suppressLineNumbers/>
    </w:pPr>
  </w:style>
  <w:style w:type="paragraph" w:customStyle="1" w:styleId="ad">
    <w:name w:val="Заголовок таблицы"/>
    <w:basedOn w:val="ac"/>
    <w:rsid w:val="008226FA"/>
    <w:pPr>
      <w:jc w:val="center"/>
    </w:pPr>
    <w:rPr>
      <w:b/>
      <w:bCs/>
    </w:rPr>
  </w:style>
  <w:style w:type="paragraph" w:customStyle="1" w:styleId="ae">
    <w:name w:val="Содержимое врезки"/>
    <w:basedOn w:val="a6"/>
    <w:rsid w:val="008226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3529</Words>
  <Characters>20119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City Invest Bank</Company>
  <LinksUpToDate>false</LinksUpToDate>
  <CharactersWithSpaces>23601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master</dc:creator>
  <cp:keywords/>
  <cp:lastModifiedBy>Татьяна Строчилова</cp:lastModifiedBy>
  <cp:revision>11</cp:revision>
  <cp:lastPrinted>2016-11-14T09:15:00Z</cp:lastPrinted>
  <dcterms:created xsi:type="dcterms:W3CDTF">2016-11-14T09:46:00Z</dcterms:created>
  <dcterms:modified xsi:type="dcterms:W3CDTF">2018-10-30T08:59:00Z</dcterms:modified>
</cp:coreProperties>
</file>